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E9C94" w14:textId="77777777" w:rsidR="002F60F7" w:rsidRPr="009C3A86" w:rsidRDefault="002F60F7" w:rsidP="009C3A86">
      <w:pPr>
        <w:spacing w:line="360" w:lineRule="auto"/>
        <w:jc w:val="both"/>
        <w:rPr>
          <w:b/>
        </w:rPr>
      </w:pPr>
      <w:r w:rsidRPr="009C3A86">
        <w:rPr>
          <w:b/>
        </w:rPr>
        <w:t xml:space="preserve">SALACIOUS SELFIES AND DEFAMATORY DISSEMINATION – </w:t>
      </w:r>
    </w:p>
    <w:p w14:paraId="5E29830D" w14:textId="77777777" w:rsidR="00684C75" w:rsidRPr="009C3A86" w:rsidRDefault="002F60F7" w:rsidP="009C3A86">
      <w:pPr>
        <w:spacing w:line="360" w:lineRule="auto"/>
        <w:jc w:val="both"/>
        <w:rPr>
          <w:b/>
          <w:u w:val="single"/>
        </w:rPr>
      </w:pPr>
      <w:r w:rsidRPr="009C3A86">
        <w:rPr>
          <w:b/>
        </w:rPr>
        <w:t>COMPUTER MISUSE</w:t>
      </w:r>
    </w:p>
    <w:p w14:paraId="799566C8" w14:textId="77777777" w:rsidR="00722578" w:rsidRPr="009C3A86" w:rsidRDefault="00722578" w:rsidP="009C3A86">
      <w:pPr>
        <w:spacing w:line="360" w:lineRule="auto"/>
        <w:jc w:val="both"/>
        <w:rPr>
          <w:b/>
        </w:rPr>
      </w:pPr>
    </w:p>
    <w:p w14:paraId="7394F76C" w14:textId="77777777" w:rsidR="004D73D3" w:rsidRPr="009C3A86" w:rsidRDefault="004D73D3" w:rsidP="009C3A86">
      <w:pPr>
        <w:spacing w:line="360" w:lineRule="auto"/>
        <w:jc w:val="both"/>
        <w:rPr>
          <w:b/>
        </w:rPr>
      </w:pPr>
      <w:r w:rsidRPr="009C3A86">
        <w:rPr>
          <w:b/>
        </w:rPr>
        <w:t>Introduction</w:t>
      </w:r>
    </w:p>
    <w:p w14:paraId="34E4D250" w14:textId="51540678" w:rsidR="005F54D9" w:rsidRPr="009C3A86" w:rsidRDefault="002F60F7" w:rsidP="009C3A86">
      <w:pPr>
        <w:spacing w:line="360" w:lineRule="auto"/>
        <w:jc w:val="both"/>
      </w:pPr>
      <w:r w:rsidRPr="009C3A86">
        <w:t>There is no general tort of invasion of privacy</w:t>
      </w:r>
      <w:r w:rsidR="00501E3A" w:rsidRPr="009C3A86">
        <w:rPr>
          <w:rStyle w:val="FootnoteReference"/>
        </w:rPr>
        <w:footnoteReference w:id="1"/>
      </w:r>
      <w:r w:rsidR="00501E3A" w:rsidRPr="009C3A86">
        <w:t xml:space="preserve"> </w:t>
      </w:r>
      <w:r w:rsidR="00501E3A" w:rsidRPr="009C3A86">
        <w:rPr>
          <w:rFonts w:eastAsiaTheme="minorHAnsi"/>
          <w:lang w:val="en-TT"/>
        </w:rPr>
        <w:t xml:space="preserve">nor is there a statutory cause of action protecting </w:t>
      </w:r>
      <w:r w:rsidR="009E5A41" w:rsidRPr="009C3A86">
        <w:rPr>
          <w:rFonts w:eastAsiaTheme="minorHAnsi"/>
          <w:lang w:val="en-TT"/>
        </w:rPr>
        <w:t>individual’s</w:t>
      </w:r>
      <w:r w:rsidR="00501E3A" w:rsidRPr="009C3A86">
        <w:rPr>
          <w:rFonts w:eastAsiaTheme="minorHAnsi"/>
          <w:lang w:val="en-TT"/>
        </w:rPr>
        <w:t xml:space="preserve"> personal information and the misuse of it</w:t>
      </w:r>
      <w:r w:rsidR="00501E3A" w:rsidRPr="009C3A86">
        <w:rPr>
          <w:rFonts w:eastAsiaTheme="minorHAnsi"/>
          <w:vertAlign w:val="superscript"/>
          <w:lang w:val="en-TT"/>
        </w:rPr>
        <w:footnoteReference w:id="2"/>
      </w:r>
      <w:r w:rsidR="00501E3A" w:rsidRPr="009C3A86">
        <w:rPr>
          <w:rFonts w:eastAsiaTheme="minorHAnsi"/>
          <w:lang w:val="en-TT"/>
        </w:rPr>
        <w:t>.</w:t>
      </w:r>
      <w:r w:rsidRPr="009C3A86">
        <w:t xml:space="preserve"> </w:t>
      </w:r>
      <w:r w:rsidR="005F54D9" w:rsidRPr="009C3A86">
        <w:t xml:space="preserve">There are </w:t>
      </w:r>
      <w:r w:rsidR="009C3A86" w:rsidRPr="009C3A86">
        <w:t>many</w:t>
      </w:r>
      <w:r w:rsidR="005F54D9" w:rsidRPr="009C3A86">
        <w:t xml:space="preserve"> other causes of action that can bring relief in related circumstances, including breach of confidence</w:t>
      </w:r>
      <w:r w:rsidR="005F54D9" w:rsidRPr="009C3A86">
        <w:rPr>
          <w:rStyle w:val="FootnoteReference"/>
        </w:rPr>
        <w:footnoteReference w:id="3"/>
      </w:r>
      <w:r w:rsidR="005F54D9" w:rsidRPr="009C3A86">
        <w:t>, wrongful disclosure and/or misuse of private information</w:t>
      </w:r>
      <w:r w:rsidR="005F54D9" w:rsidRPr="009C3A86">
        <w:rPr>
          <w:rStyle w:val="FootnoteReference"/>
        </w:rPr>
        <w:footnoteReference w:id="4"/>
      </w:r>
      <w:r w:rsidR="005F54D9" w:rsidRPr="009C3A86">
        <w:t>, harassment, nuisance, libel and malicious falsehood</w:t>
      </w:r>
      <w:r w:rsidR="005F54D9" w:rsidRPr="009C3A86">
        <w:rPr>
          <w:rStyle w:val="FootnoteReference"/>
        </w:rPr>
        <w:footnoteReference w:id="5"/>
      </w:r>
      <w:r w:rsidR="005F54D9" w:rsidRPr="009C3A86">
        <w:t xml:space="preserve">.  </w:t>
      </w:r>
    </w:p>
    <w:p w14:paraId="6AFA0B4A" w14:textId="77777777" w:rsidR="005F54D9" w:rsidRPr="009C3A86" w:rsidRDefault="005F54D9" w:rsidP="009C3A86">
      <w:pPr>
        <w:spacing w:line="360" w:lineRule="auto"/>
        <w:jc w:val="both"/>
      </w:pPr>
    </w:p>
    <w:p w14:paraId="158FF74B" w14:textId="77777777" w:rsidR="005F54D9" w:rsidRPr="009C3A86" w:rsidRDefault="00843F27" w:rsidP="009C3A86">
      <w:pPr>
        <w:spacing w:line="360" w:lineRule="auto"/>
        <w:jc w:val="both"/>
      </w:pPr>
      <w:r w:rsidRPr="009C3A86">
        <w:t xml:space="preserve">We are now in the digital age. What was difficult and expensive is now commonplace. Information and communication are literally at our fingertips. We can share personal and public data within seconds to anyone around the world. </w:t>
      </w:r>
      <w:r w:rsidR="00E15352" w:rsidRPr="009C3A86">
        <w:t xml:space="preserve">The traditional arts (if we can call them that!) of film are no longer commonplace. Hard copy is dead or nearly so. The internet, digital photography, message boards, websites, blogs, computers and smartphones are ubiquitous and comprise the root of the greater part of our awareness of the world. </w:t>
      </w:r>
    </w:p>
    <w:p w14:paraId="4F0EB0D1" w14:textId="77777777" w:rsidR="00E15352" w:rsidRPr="009C3A86" w:rsidRDefault="00E15352" w:rsidP="009C3A86">
      <w:pPr>
        <w:spacing w:line="360" w:lineRule="auto"/>
        <w:jc w:val="both"/>
      </w:pPr>
    </w:p>
    <w:p w14:paraId="01A22117" w14:textId="77777777" w:rsidR="00E15352" w:rsidRPr="009C3A86" w:rsidRDefault="00E15352" w:rsidP="009C3A86">
      <w:pPr>
        <w:spacing w:line="360" w:lineRule="auto"/>
        <w:jc w:val="both"/>
      </w:pPr>
      <w:r w:rsidRPr="009C3A86">
        <w:t xml:space="preserve">The traditional torts remain. We, as Attorneys-at-Law, are now forced to grapple with the evidential burdens that arise as a result of the new arts of communication. The anonymity that many enjoy as a result of the digital age </w:t>
      </w:r>
      <w:r w:rsidR="00C20850" w:rsidRPr="009C3A86">
        <w:t xml:space="preserve">is now used by some to hide their identities while they inflict intentional and malicious damage to others, be it friend, celebrity or enemy. It is now much easier to defame, insult or embarrass people and accordingly, it happens more often. </w:t>
      </w:r>
    </w:p>
    <w:p w14:paraId="43DC16B1" w14:textId="77777777" w:rsidR="00C20850" w:rsidRPr="009C3A86" w:rsidRDefault="00C20850" w:rsidP="009C3A86">
      <w:pPr>
        <w:spacing w:line="360" w:lineRule="auto"/>
        <w:jc w:val="both"/>
      </w:pPr>
    </w:p>
    <w:p w14:paraId="6D5F6C00" w14:textId="77777777" w:rsidR="00C20850" w:rsidRPr="009C3A86" w:rsidRDefault="00C20850" w:rsidP="009C3A86">
      <w:pPr>
        <w:spacing w:line="360" w:lineRule="auto"/>
        <w:jc w:val="both"/>
      </w:pPr>
      <w:r w:rsidRPr="009C3A86">
        <w:lastRenderedPageBreak/>
        <w:t xml:space="preserve">The sad fact is that several Commonwealth jurisdictions have not taken the steps, as in some places, to change the law of evidence regarding actions taken by electronic means. </w:t>
      </w:r>
      <w:r w:rsidR="004D73D3" w:rsidRPr="009C3A86">
        <w:t xml:space="preserve">The approach taken in proving a claim would accordingly vary depending on the circumstances. </w:t>
      </w:r>
    </w:p>
    <w:p w14:paraId="00BF304B" w14:textId="1C89758F" w:rsidR="004D73D3" w:rsidRPr="009C3A86" w:rsidRDefault="004D73D3" w:rsidP="009C3A86">
      <w:pPr>
        <w:spacing w:line="360" w:lineRule="auto"/>
        <w:jc w:val="both"/>
      </w:pPr>
      <w:r w:rsidRPr="009C3A86">
        <w:t xml:space="preserve">The most common complaint I address at my office revolve around the misuse of personal photographs – “the selfie” – and the oftentimes salacious content of same. These photographs are normally made and sent to a client’s loved one for personal enjoyment during the course of their romantic relationships. Unsurprisingly, these photographs are often used for a different purpose when the relationships come to an end and are used to embarrass and ridicule the subject therein. </w:t>
      </w:r>
    </w:p>
    <w:p w14:paraId="41AC5D20" w14:textId="77777777" w:rsidR="004D73D3" w:rsidRPr="009C3A86" w:rsidRDefault="004D73D3" w:rsidP="009C3A86">
      <w:pPr>
        <w:spacing w:line="360" w:lineRule="auto"/>
        <w:jc w:val="both"/>
      </w:pPr>
    </w:p>
    <w:p w14:paraId="0C7D7117" w14:textId="77777777" w:rsidR="004D73D3" w:rsidRPr="009C3A86" w:rsidRDefault="004D73D3" w:rsidP="009C3A86">
      <w:pPr>
        <w:spacing w:line="360" w:lineRule="auto"/>
        <w:jc w:val="both"/>
      </w:pPr>
      <w:r w:rsidRPr="009C3A86">
        <w:t xml:space="preserve">It was for this reason the Courts refashioned the specific causes of action of wrongful misuse of private information and more specifically, breach of confidence. I have found in practice that it is easier to prove a breach of confidence and therefore is normally the route I recommend for these types of matters. </w:t>
      </w:r>
    </w:p>
    <w:p w14:paraId="436843D7" w14:textId="77777777" w:rsidR="004D73D3" w:rsidRPr="009C3A86" w:rsidRDefault="004D73D3" w:rsidP="009C3A86">
      <w:pPr>
        <w:spacing w:line="360" w:lineRule="auto"/>
        <w:jc w:val="both"/>
      </w:pPr>
    </w:p>
    <w:p w14:paraId="11FF69B2" w14:textId="77777777" w:rsidR="004D73D3" w:rsidRPr="009C3A86" w:rsidRDefault="004D73D3" w:rsidP="009C3A86">
      <w:pPr>
        <w:spacing w:after="200" w:line="276" w:lineRule="auto"/>
        <w:jc w:val="both"/>
        <w:rPr>
          <w:rFonts w:eastAsiaTheme="minorHAnsi"/>
          <w:b/>
          <w:lang w:val="en-TT"/>
        </w:rPr>
      </w:pPr>
      <w:r w:rsidRPr="009C3A86">
        <w:rPr>
          <w:rFonts w:eastAsiaTheme="minorHAnsi"/>
          <w:b/>
          <w:lang w:val="en-TT"/>
        </w:rPr>
        <w:t xml:space="preserve">History of breach of confidence </w:t>
      </w:r>
    </w:p>
    <w:p w14:paraId="0E869C4C" w14:textId="7BC05EC4" w:rsidR="004D73D3" w:rsidRPr="009C3A86" w:rsidRDefault="004D73D3" w:rsidP="009C3A86">
      <w:pPr>
        <w:spacing w:after="200" w:line="276" w:lineRule="auto"/>
        <w:jc w:val="both"/>
        <w:rPr>
          <w:rFonts w:eastAsiaTheme="minorHAnsi"/>
          <w:lang w:val="en-TT"/>
        </w:rPr>
      </w:pPr>
      <w:r w:rsidRPr="009C3A86">
        <w:rPr>
          <w:rFonts w:eastAsiaTheme="minorHAnsi"/>
          <w:lang w:val="en-TT"/>
        </w:rPr>
        <w:t xml:space="preserve">It is arguable that most of the early cases on breach of confidence focused </w:t>
      </w:r>
      <w:r w:rsidR="00057831" w:rsidRPr="009C3A86">
        <w:rPr>
          <w:rFonts w:eastAsiaTheme="minorHAnsi"/>
          <w:lang w:val="en-TT"/>
        </w:rPr>
        <w:t xml:space="preserve">on commercial relationships and </w:t>
      </w:r>
      <w:r w:rsidRPr="009C3A86">
        <w:rPr>
          <w:rFonts w:eastAsiaTheme="minorHAnsi"/>
          <w:lang w:val="en-TT"/>
        </w:rPr>
        <w:t xml:space="preserve">government secrets. </w:t>
      </w:r>
    </w:p>
    <w:p w14:paraId="5D26BFC9" w14:textId="2CF6B62E" w:rsidR="004D73D3" w:rsidRPr="009C3A86" w:rsidRDefault="004D73D3" w:rsidP="009C3A86">
      <w:pPr>
        <w:spacing w:after="200" w:line="276" w:lineRule="auto"/>
        <w:jc w:val="both"/>
        <w:rPr>
          <w:rFonts w:eastAsiaTheme="minorHAnsi"/>
          <w:lang w:val="en-TT"/>
        </w:rPr>
      </w:pPr>
      <w:r w:rsidRPr="009C3A86">
        <w:rPr>
          <w:rFonts w:eastAsiaTheme="minorHAnsi"/>
          <w:lang w:val="en-TT"/>
        </w:rPr>
        <w:t xml:space="preserve">The movement towards individual privacy has been precipitated by both the advancement of human </w:t>
      </w:r>
      <w:r w:rsidR="009E5A41" w:rsidRPr="009C3A86">
        <w:rPr>
          <w:rFonts w:eastAsiaTheme="minorHAnsi"/>
          <w:lang w:val="en-TT"/>
        </w:rPr>
        <w:t>rights (</w:t>
      </w:r>
      <w:r w:rsidR="00F1697D" w:rsidRPr="009C3A86">
        <w:rPr>
          <w:rFonts w:eastAsiaTheme="minorHAnsi"/>
          <w:lang w:val="en-TT"/>
        </w:rPr>
        <w:t xml:space="preserve">of privacy) </w:t>
      </w:r>
      <w:r w:rsidRPr="009C3A86">
        <w:rPr>
          <w:rFonts w:eastAsiaTheme="minorHAnsi"/>
          <w:lang w:val="en-TT"/>
        </w:rPr>
        <w:t xml:space="preserve">over the years as well as the recognition of the </w:t>
      </w:r>
      <w:r w:rsidR="00372958" w:rsidRPr="009C3A86">
        <w:rPr>
          <w:rFonts w:eastAsiaTheme="minorHAnsi"/>
          <w:lang w:val="en-TT"/>
        </w:rPr>
        <w:t xml:space="preserve">aforementioned </w:t>
      </w:r>
      <w:r w:rsidRPr="009C3A86">
        <w:rPr>
          <w:rFonts w:eastAsiaTheme="minorHAnsi"/>
          <w:lang w:val="en-TT"/>
        </w:rPr>
        <w:t>growth of the internet</w:t>
      </w:r>
      <w:r w:rsidR="00372958" w:rsidRPr="009C3A86">
        <w:rPr>
          <w:rFonts w:eastAsiaTheme="minorHAnsi"/>
          <w:lang w:val="en-TT"/>
        </w:rPr>
        <w:t xml:space="preserve">, particularly, </w:t>
      </w:r>
      <w:r w:rsidRPr="009C3A86">
        <w:rPr>
          <w:rFonts w:eastAsiaTheme="minorHAnsi"/>
          <w:lang w:val="en-TT"/>
        </w:rPr>
        <w:t>social media and its various platforms.</w:t>
      </w:r>
    </w:p>
    <w:p w14:paraId="32987A5B" w14:textId="37A68CDD" w:rsidR="004D73D3" w:rsidRPr="009C3A86" w:rsidRDefault="00372958" w:rsidP="009C3A86">
      <w:pPr>
        <w:spacing w:after="200" w:line="276" w:lineRule="auto"/>
        <w:jc w:val="both"/>
        <w:rPr>
          <w:rFonts w:eastAsiaTheme="minorHAnsi"/>
          <w:lang w:val="en-TT"/>
        </w:rPr>
      </w:pPr>
      <w:r w:rsidRPr="009C3A86">
        <w:rPr>
          <w:rFonts w:eastAsiaTheme="minorHAnsi"/>
          <w:lang w:val="en-TT"/>
        </w:rPr>
        <w:t>The c</w:t>
      </w:r>
      <w:r w:rsidR="004D73D3" w:rsidRPr="009C3A86">
        <w:rPr>
          <w:rFonts w:eastAsiaTheme="minorHAnsi"/>
          <w:lang w:val="en-TT"/>
        </w:rPr>
        <w:t xml:space="preserve">ourts </w:t>
      </w:r>
      <w:r w:rsidRPr="009C3A86">
        <w:rPr>
          <w:rFonts w:eastAsiaTheme="minorHAnsi"/>
          <w:lang w:val="en-TT"/>
        </w:rPr>
        <w:t xml:space="preserve">of the United Kingdom </w:t>
      </w:r>
      <w:r w:rsidR="004D73D3" w:rsidRPr="009C3A86">
        <w:rPr>
          <w:rFonts w:eastAsiaTheme="minorHAnsi"/>
          <w:lang w:val="en-TT"/>
        </w:rPr>
        <w:t>have developed the area in</w:t>
      </w:r>
      <w:r w:rsidRPr="009C3A86">
        <w:rPr>
          <w:rFonts w:eastAsiaTheme="minorHAnsi"/>
          <w:lang w:val="en-TT"/>
        </w:rPr>
        <w:t xml:space="preserve"> tandem with the protection afforded under its human rights obligations</w:t>
      </w:r>
      <w:r w:rsidR="004D73D3" w:rsidRPr="009C3A86">
        <w:rPr>
          <w:rFonts w:eastAsiaTheme="minorHAnsi"/>
          <w:lang w:val="en-TT"/>
        </w:rPr>
        <w:t xml:space="preserve"> whilst the Australian jurisprudence has </w:t>
      </w:r>
      <w:r w:rsidRPr="009C3A86">
        <w:rPr>
          <w:rFonts w:eastAsiaTheme="minorHAnsi"/>
          <w:lang w:val="en-TT"/>
        </w:rPr>
        <w:t>more focussed on protecting the privacy of personal</w:t>
      </w:r>
      <w:r w:rsidR="004D73D3" w:rsidRPr="009C3A86">
        <w:rPr>
          <w:rFonts w:eastAsiaTheme="minorHAnsi"/>
          <w:lang w:val="en-TT"/>
        </w:rPr>
        <w:t xml:space="preserve"> information and </w:t>
      </w:r>
      <w:r w:rsidR="00057831" w:rsidRPr="009C3A86">
        <w:rPr>
          <w:rFonts w:eastAsiaTheme="minorHAnsi"/>
          <w:lang w:val="en-TT"/>
        </w:rPr>
        <w:t xml:space="preserve">thus </w:t>
      </w:r>
      <w:r w:rsidR="004D73D3" w:rsidRPr="009C3A86">
        <w:rPr>
          <w:rFonts w:eastAsiaTheme="minorHAnsi"/>
          <w:lang w:val="en-TT"/>
        </w:rPr>
        <w:t>have created a new impetus in this area.</w:t>
      </w:r>
      <w:r w:rsidR="004D73D3" w:rsidRPr="009C3A86">
        <w:rPr>
          <w:rFonts w:eastAsiaTheme="minorHAnsi"/>
          <w:vertAlign w:val="superscript"/>
          <w:lang w:val="en-TT"/>
        </w:rPr>
        <w:footnoteReference w:id="6"/>
      </w:r>
    </w:p>
    <w:p w14:paraId="325C721C" w14:textId="53D73ABD" w:rsidR="004D73D3" w:rsidRPr="009C3A86" w:rsidRDefault="00372958" w:rsidP="009C3A86">
      <w:pPr>
        <w:spacing w:after="200" w:line="276" w:lineRule="auto"/>
        <w:jc w:val="both"/>
        <w:rPr>
          <w:rFonts w:eastAsiaTheme="minorHAnsi"/>
          <w:lang w:val="en-TT"/>
        </w:rPr>
      </w:pPr>
      <w:r w:rsidRPr="009C3A86">
        <w:rPr>
          <w:rFonts w:eastAsiaTheme="minorHAnsi"/>
          <w:lang w:val="en-TT"/>
        </w:rPr>
        <w:t xml:space="preserve">In the Caribbean and specifically from the Trinidad and Tobago jurisdiction, the judgment in </w:t>
      </w:r>
      <w:r w:rsidR="004D73D3" w:rsidRPr="009C3A86">
        <w:rPr>
          <w:rFonts w:eastAsiaTheme="minorHAnsi"/>
          <w:b/>
          <w:lang w:val="en-TT"/>
        </w:rPr>
        <w:t xml:space="preserve">Therese Ho v </w:t>
      </w:r>
      <w:r w:rsidR="00057831" w:rsidRPr="009C3A86">
        <w:rPr>
          <w:rFonts w:eastAsiaTheme="minorHAnsi"/>
          <w:b/>
          <w:lang w:val="en-TT"/>
        </w:rPr>
        <w:t>Lendl</w:t>
      </w:r>
      <w:r w:rsidR="004D73D3" w:rsidRPr="009C3A86">
        <w:rPr>
          <w:rFonts w:eastAsiaTheme="minorHAnsi"/>
          <w:b/>
          <w:lang w:val="en-TT"/>
        </w:rPr>
        <w:t xml:space="preserve"> Simmons</w:t>
      </w:r>
      <w:r w:rsidR="004D73D3" w:rsidRPr="009C3A86">
        <w:rPr>
          <w:rFonts w:eastAsiaTheme="minorHAnsi"/>
          <w:lang w:val="en-TT"/>
        </w:rPr>
        <w:t xml:space="preserve"> adopted t</w:t>
      </w:r>
      <w:r w:rsidR="00057831" w:rsidRPr="009C3A86">
        <w:rPr>
          <w:rFonts w:eastAsiaTheme="minorHAnsi"/>
          <w:lang w:val="en-TT"/>
        </w:rPr>
        <w:t xml:space="preserve">he Australian position and applied </w:t>
      </w:r>
      <w:r w:rsidR="004D73D3" w:rsidRPr="009C3A86">
        <w:rPr>
          <w:rFonts w:eastAsiaTheme="minorHAnsi"/>
          <w:lang w:val="en-TT"/>
        </w:rPr>
        <w:t>the equitable cause of action</w:t>
      </w:r>
      <w:r w:rsidRPr="009C3A86">
        <w:rPr>
          <w:rFonts w:eastAsiaTheme="minorHAnsi"/>
          <w:lang w:val="en-TT"/>
        </w:rPr>
        <w:t xml:space="preserve"> of breach of confidence</w:t>
      </w:r>
      <w:r w:rsidR="004D73D3" w:rsidRPr="009C3A86">
        <w:rPr>
          <w:rFonts w:eastAsiaTheme="minorHAnsi"/>
          <w:lang w:val="en-TT"/>
        </w:rPr>
        <w:t>.</w:t>
      </w:r>
      <w:r w:rsidR="00103681" w:rsidRPr="009C3A86">
        <w:rPr>
          <w:rFonts w:eastAsiaTheme="minorHAnsi"/>
          <w:lang w:val="en-TT"/>
        </w:rPr>
        <w:t xml:space="preserve"> </w:t>
      </w:r>
    </w:p>
    <w:p w14:paraId="1F92696D" w14:textId="77777777" w:rsidR="004D73D3" w:rsidRPr="009C3A86" w:rsidRDefault="004D73D3" w:rsidP="009C3A86">
      <w:pPr>
        <w:spacing w:after="200" w:line="276" w:lineRule="auto"/>
        <w:jc w:val="both"/>
        <w:rPr>
          <w:rFonts w:eastAsiaTheme="minorHAnsi"/>
          <w:lang w:val="en-TT"/>
        </w:rPr>
      </w:pPr>
      <w:r w:rsidRPr="009C3A86">
        <w:rPr>
          <w:rFonts w:eastAsiaTheme="minorHAnsi"/>
          <w:lang w:val="en-TT"/>
        </w:rPr>
        <w:t>The essential elements of an action in equity for breach of confidence are: -</w:t>
      </w:r>
    </w:p>
    <w:p w14:paraId="4EE3387D" w14:textId="77777777" w:rsidR="004D73D3" w:rsidRPr="009C3A86" w:rsidRDefault="004D73D3" w:rsidP="009C3A86">
      <w:pPr>
        <w:numPr>
          <w:ilvl w:val="0"/>
          <w:numId w:val="3"/>
        </w:numPr>
        <w:spacing w:after="200" w:line="276" w:lineRule="auto"/>
        <w:contextualSpacing/>
        <w:jc w:val="both"/>
        <w:rPr>
          <w:rFonts w:eastAsiaTheme="minorHAnsi"/>
          <w:lang w:val="en-TT"/>
        </w:rPr>
      </w:pPr>
      <w:r w:rsidRPr="009C3A86">
        <w:rPr>
          <w:rFonts w:eastAsiaTheme="minorHAnsi"/>
          <w:lang w:val="en-TT"/>
        </w:rPr>
        <w:t>That the information was of a confidential nature.</w:t>
      </w:r>
    </w:p>
    <w:p w14:paraId="7DFAEE98" w14:textId="77777777" w:rsidR="004D73D3" w:rsidRPr="009C3A86" w:rsidRDefault="004D73D3" w:rsidP="009C3A86">
      <w:pPr>
        <w:numPr>
          <w:ilvl w:val="0"/>
          <w:numId w:val="3"/>
        </w:numPr>
        <w:spacing w:after="200" w:line="276" w:lineRule="auto"/>
        <w:contextualSpacing/>
        <w:jc w:val="both"/>
        <w:rPr>
          <w:rFonts w:eastAsiaTheme="minorHAnsi"/>
          <w:lang w:val="en-TT"/>
        </w:rPr>
      </w:pPr>
      <w:r w:rsidRPr="009C3A86">
        <w:rPr>
          <w:rFonts w:eastAsiaTheme="minorHAnsi"/>
          <w:lang w:val="en-TT"/>
        </w:rPr>
        <w:t>That it was communicated or obtained in circumstances imparting an obligation of confidence.</w:t>
      </w:r>
    </w:p>
    <w:p w14:paraId="1EA03F99" w14:textId="77777777" w:rsidR="004D73D3" w:rsidRPr="009C3A86" w:rsidRDefault="004D73D3" w:rsidP="009C3A86">
      <w:pPr>
        <w:numPr>
          <w:ilvl w:val="0"/>
          <w:numId w:val="3"/>
        </w:numPr>
        <w:spacing w:after="200" w:line="276" w:lineRule="auto"/>
        <w:contextualSpacing/>
        <w:jc w:val="both"/>
        <w:rPr>
          <w:rFonts w:eastAsiaTheme="minorHAnsi"/>
          <w:lang w:val="en-TT"/>
        </w:rPr>
      </w:pPr>
      <w:r w:rsidRPr="009C3A86">
        <w:rPr>
          <w:rFonts w:eastAsiaTheme="minorHAnsi"/>
          <w:lang w:val="en-TT"/>
        </w:rPr>
        <w:lastRenderedPageBreak/>
        <w:t xml:space="preserve">That there was an unauthorized use of the information </w:t>
      </w:r>
    </w:p>
    <w:p w14:paraId="191787F5" w14:textId="77777777" w:rsidR="00057831" w:rsidRPr="009C3A86" w:rsidRDefault="00057831" w:rsidP="009C3A86">
      <w:pPr>
        <w:spacing w:after="200" w:line="276" w:lineRule="auto"/>
        <w:jc w:val="both"/>
        <w:rPr>
          <w:rFonts w:eastAsiaTheme="minorHAnsi"/>
          <w:lang w:val="en-TT"/>
        </w:rPr>
      </w:pPr>
    </w:p>
    <w:p w14:paraId="4E1817F9" w14:textId="276D179D" w:rsidR="002E0B49" w:rsidRPr="009C3A86" w:rsidRDefault="004D73D3" w:rsidP="009C3A86">
      <w:pPr>
        <w:spacing w:after="200" w:line="276" w:lineRule="auto"/>
        <w:jc w:val="both"/>
        <w:rPr>
          <w:rFonts w:eastAsiaTheme="minorHAnsi"/>
          <w:lang w:val="en-TT"/>
        </w:rPr>
      </w:pPr>
      <w:r w:rsidRPr="009C3A86">
        <w:rPr>
          <w:rFonts w:eastAsiaTheme="minorHAnsi"/>
          <w:lang w:val="en-TT"/>
        </w:rPr>
        <w:t>The cause of action is applicable to images of a person even where the images were created by the person sought to be restrained from disclosing.</w:t>
      </w:r>
    </w:p>
    <w:p w14:paraId="5D954D92" w14:textId="77777777" w:rsidR="004D73D3" w:rsidRPr="009C3A86" w:rsidRDefault="004D73D3" w:rsidP="009C3A86">
      <w:pPr>
        <w:spacing w:after="200" w:line="276" w:lineRule="auto"/>
        <w:jc w:val="both"/>
        <w:rPr>
          <w:rFonts w:eastAsiaTheme="minorHAnsi"/>
          <w:b/>
          <w:lang w:val="en-TT"/>
        </w:rPr>
      </w:pPr>
      <w:r w:rsidRPr="009C3A86">
        <w:rPr>
          <w:rFonts w:eastAsiaTheme="minorHAnsi"/>
          <w:b/>
          <w:lang w:val="en-TT"/>
        </w:rPr>
        <w:t xml:space="preserve">Remedies </w:t>
      </w:r>
    </w:p>
    <w:p w14:paraId="43CDB647" w14:textId="77777777" w:rsidR="004D73D3" w:rsidRPr="009C3A86" w:rsidRDefault="004D73D3" w:rsidP="009C3A86">
      <w:pPr>
        <w:spacing w:after="200" w:line="276" w:lineRule="auto"/>
        <w:jc w:val="both"/>
        <w:rPr>
          <w:rFonts w:eastAsiaTheme="minorHAnsi"/>
          <w:b/>
          <w:lang w:val="en-TT"/>
        </w:rPr>
      </w:pPr>
      <w:r w:rsidRPr="009C3A86">
        <w:rPr>
          <w:rFonts w:eastAsiaTheme="minorHAnsi"/>
          <w:b/>
          <w:lang w:val="en-TT"/>
        </w:rPr>
        <w:t>Injunctive relief</w:t>
      </w:r>
    </w:p>
    <w:p w14:paraId="1E3C118D" w14:textId="41136EB5" w:rsidR="00024B69" w:rsidRPr="009C3A86" w:rsidRDefault="004D73D3" w:rsidP="009C3A86">
      <w:pPr>
        <w:spacing w:after="200" w:line="276" w:lineRule="auto"/>
        <w:jc w:val="both"/>
        <w:rPr>
          <w:rFonts w:eastAsiaTheme="minorHAnsi"/>
          <w:lang w:val="en-TT"/>
        </w:rPr>
      </w:pPr>
      <w:r w:rsidRPr="009C3A86">
        <w:rPr>
          <w:rFonts w:eastAsiaTheme="minorHAnsi"/>
          <w:lang w:val="en-TT"/>
        </w:rPr>
        <w:t xml:space="preserve">This remedy is only useful where the </w:t>
      </w:r>
      <w:r w:rsidR="00F1697D" w:rsidRPr="009C3A86">
        <w:rPr>
          <w:rFonts w:eastAsiaTheme="minorHAnsi"/>
          <w:lang w:val="en-TT"/>
        </w:rPr>
        <w:t xml:space="preserve">distribution of the images has </w:t>
      </w:r>
      <w:r w:rsidRPr="009C3A86">
        <w:rPr>
          <w:rFonts w:eastAsiaTheme="minorHAnsi"/>
          <w:lang w:val="en-TT"/>
        </w:rPr>
        <w:t xml:space="preserve">not been so extensive or far reaching that to grant same would serve no useful purpose. In most cases the difficulty is that the extent of publication is widespread as communication is done with the swipe of a </w:t>
      </w:r>
      <w:r w:rsidR="00024B69" w:rsidRPr="009C3A86">
        <w:rPr>
          <w:rFonts w:eastAsiaTheme="minorHAnsi"/>
          <w:lang w:val="en-TT"/>
        </w:rPr>
        <w:t>finger or the push of a button.</w:t>
      </w:r>
    </w:p>
    <w:p w14:paraId="312CC08E" w14:textId="1B7A489F" w:rsidR="00024B69" w:rsidRPr="009C3A86" w:rsidRDefault="00024B69" w:rsidP="009C3A86">
      <w:pPr>
        <w:spacing w:after="200" w:line="276" w:lineRule="auto"/>
        <w:jc w:val="both"/>
        <w:rPr>
          <w:rFonts w:eastAsiaTheme="minorHAnsi"/>
          <w:b/>
          <w:lang w:val="en-TT"/>
        </w:rPr>
      </w:pPr>
      <w:r w:rsidRPr="009C3A86">
        <w:rPr>
          <w:rFonts w:eastAsiaTheme="minorHAnsi"/>
          <w:b/>
          <w:lang w:val="en-TT"/>
        </w:rPr>
        <w:t>Equitable Compensation</w:t>
      </w:r>
    </w:p>
    <w:p w14:paraId="52D02209" w14:textId="2BCDB22E" w:rsidR="004D73D3" w:rsidRPr="009C3A86" w:rsidRDefault="004D73D3" w:rsidP="009C3A86">
      <w:pPr>
        <w:spacing w:after="200" w:line="276" w:lineRule="auto"/>
        <w:jc w:val="both"/>
        <w:rPr>
          <w:rFonts w:eastAsiaTheme="minorHAnsi"/>
          <w:lang w:val="en-TT"/>
        </w:rPr>
      </w:pPr>
      <w:r w:rsidRPr="009C3A86">
        <w:rPr>
          <w:rFonts w:eastAsiaTheme="minorHAnsi"/>
          <w:lang w:val="en-TT"/>
        </w:rPr>
        <w:t>In addition to or in substitution of injunctive relief the Court can compensate by awarding equitable compensation in the form of damages.</w:t>
      </w:r>
    </w:p>
    <w:p w14:paraId="4F8AEAEF" w14:textId="77C2EDF1" w:rsidR="00F465AD" w:rsidRPr="009C3A86" w:rsidRDefault="00D33E42" w:rsidP="009C3A86">
      <w:pPr>
        <w:spacing w:after="200" w:line="276" w:lineRule="auto"/>
        <w:jc w:val="both"/>
        <w:rPr>
          <w:rFonts w:eastAsiaTheme="minorHAnsi"/>
          <w:lang w:val="en-TT"/>
        </w:rPr>
      </w:pPr>
      <w:r w:rsidRPr="009C3A86">
        <w:rPr>
          <w:rFonts w:eastAsiaTheme="minorHAnsi"/>
          <w:lang w:val="en-TT"/>
        </w:rPr>
        <w:t xml:space="preserve">In awarding equitable </w:t>
      </w:r>
      <w:r w:rsidR="00CC14AD" w:rsidRPr="009C3A86">
        <w:rPr>
          <w:rFonts w:eastAsiaTheme="minorHAnsi"/>
          <w:lang w:val="en-TT"/>
        </w:rPr>
        <w:t>compensation</w:t>
      </w:r>
      <w:r w:rsidRPr="009C3A86">
        <w:rPr>
          <w:rFonts w:eastAsiaTheme="minorHAnsi"/>
          <w:lang w:val="en-TT"/>
        </w:rPr>
        <w:t xml:space="preserve"> the Court uses its inherent jurisdiction </w:t>
      </w:r>
      <w:r w:rsidR="00CC14AD" w:rsidRPr="009C3A86">
        <w:rPr>
          <w:rFonts w:eastAsiaTheme="minorHAnsi"/>
          <w:lang w:val="en-TT"/>
        </w:rPr>
        <w:t>in equity to make orders for monetary compensation as an appropriate means to remedy a purely equitable wrong.</w:t>
      </w:r>
      <w:r w:rsidR="00CC14AD" w:rsidRPr="009C3A86">
        <w:rPr>
          <w:rStyle w:val="FootnoteReference"/>
          <w:rFonts w:eastAsiaTheme="minorHAnsi"/>
          <w:lang w:val="en-TT"/>
        </w:rPr>
        <w:footnoteReference w:id="7"/>
      </w:r>
    </w:p>
    <w:p w14:paraId="15B68D7C" w14:textId="7B5E6CA5" w:rsidR="004D73D3" w:rsidRPr="009C3A86" w:rsidRDefault="00F465AD" w:rsidP="009C3A86">
      <w:pPr>
        <w:spacing w:after="200" w:line="276" w:lineRule="auto"/>
        <w:jc w:val="both"/>
        <w:rPr>
          <w:rFonts w:eastAsiaTheme="minorHAnsi"/>
          <w:lang w:val="en-TT"/>
        </w:rPr>
      </w:pPr>
      <w:r w:rsidRPr="009C3A86">
        <w:rPr>
          <w:rFonts w:eastAsiaTheme="minorHAnsi"/>
          <w:lang w:val="en-TT"/>
        </w:rPr>
        <w:t>The</w:t>
      </w:r>
      <w:r w:rsidR="004D73D3" w:rsidRPr="009C3A86">
        <w:rPr>
          <w:rFonts w:eastAsiaTheme="minorHAnsi"/>
          <w:lang w:val="en-TT"/>
        </w:rPr>
        <w:t xml:space="preserve"> award </w:t>
      </w:r>
      <w:r w:rsidRPr="009C3A86">
        <w:rPr>
          <w:rFonts w:eastAsiaTheme="minorHAnsi"/>
          <w:lang w:val="en-TT"/>
        </w:rPr>
        <w:t>under this tort like most torts seeks</w:t>
      </w:r>
      <w:r w:rsidR="004D73D3" w:rsidRPr="009C3A86">
        <w:rPr>
          <w:rFonts w:eastAsiaTheme="minorHAnsi"/>
          <w:lang w:val="en-TT"/>
        </w:rPr>
        <w:t xml:space="preserve"> to put the innocent part</w:t>
      </w:r>
      <w:r w:rsidR="00103681" w:rsidRPr="009C3A86">
        <w:rPr>
          <w:rFonts w:eastAsiaTheme="minorHAnsi"/>
          <w:lang w:val="en-TT"/>
        </w:rPr>
        <w:t>y in</w:t>
      </w:r>
      <w:r w:rsidR="004D73D3" w:rsidRPr="009C3A86">
        <w:rPr>
          <w:rFonts w:eastAsiaTheme="minorHAnsi"/>
          <w:lang w:val="en-TT"/>
        </w:rPr>
        <w:t xml:space="preserve"> the position he/she would have been but for the misuse of the confidential information. </w:t>
      </w:r>
    </w:p>
    <w:p w14:paraId="175E9C33" w14:textId="75C4D254" w:rsidR="00103681" w:rsidRPr="009C3A86" w:rsidRDefault="004D73D3" w:rsidP="009C3A86">
      <w:pPr>
        <w:spacing w:after="200" w:line="276" w:lineRule="auto"/>
        <w:jc w:val="both"/>
        <w:rPr>
          <w:rFonts w:eastAsiaTheme="minorHAnsi"/>
          <w:lang w:val="en-TT"/>
        </w:rPr>
      </w:pPr>
      <w:r w:rsidRPr="009C3A86">
        <w:rPr>
          <w:rFonts w:eastAsiaTheme="minorHAnsi"/>
          <w:lang w:val="en-TT"/>
        </w:rPr>
        <w:t>From the authorities</w:t>
      </w:r>
      <w:r w:rsidR="00024B69" w:rsidRPr="009C3A86">
        <w:rPr>
          <w:rStyle w:val="FootnoteReference"/>
          <w:rFonts w:eastAsiaTheme="minorHAnsi"/>
          <w:lang w:val="en-TT"/>
        </w:rPr>
        <w:footnoteReference w:id="8"/>
      </w:r>
      <w:r w:rsidR="00F1697D" w:rsidRPr="009C3A86">
        <w:rPr>
          <w:rFonts w:eastAsiaTheme="minorHAnsi"/>
          <w:lang w:val="en-TT"/>
        </w:rPr>
        <w:t xml:space="preserve"> the following is clear </w:t>
      </w:r>
      <w:r w:rsidR="00024B69" w:rsidRPr="009C3A86">
        <w:rPr>
          <w:rFonts w:eastAsiaTheme="minorHAnsi"/>
          <w:lang w:val="en-TT"/>
        </w:rPr>
        <w:t xml:space="preserve">(a) </w:t>
      </w:r>
      <w:r w:rsidR="00103681" w:rsidRPr="009C3A86">
        <w:rPr>
          <w:rFonts w:eastAsiaTheme="minorHAnsi"/>
          <w:lang w:val="en-TT"/>
        </w:rPr>
        <w:t>the aggrieved party is entitled to g</w:t>
      </w:r>
      <w:r w:rsidRPr="009C3A86">
        <w:rPr>
          <w:rFonts w:eastAsiaTheme="minorHAnsi"/>
          <w:lang w:val="en-TT"/>
        </w:rPr>
        <w:t>eneral damages as well as aggravated damages fo</w:t>
      </w:r>
      <w:r w:rsidR="00103681" w:rsidRPr="009C3A86">
        <w:rPr>
          <w:rFonts w:eastAsiaTheme="minorHAnsi"/>
          <w:lang w:val="en-TT"/>
        </w:rPr>
        <w:t>r</w:t>
      </w:r>
      <w:r w:rsidR="00024B69" w:rsidRPr="009C3A86">
        <w:rPr>
          <w:rFonts w:eastAsiaTheme="minorHAnsi"/>
          <w:lang w:val="en-TT"/>
        </w:rPr>
        <w:t xml:space="preserve"> emotional and mental distress (b) </w:t>
      </w:r>
      <w:r w:rsidR="00103681" w:rsidRPr="009C3A86">
        <w:rPr>
          <w:rFonts w:eastAsiaTheme="minorHAnsi"/>
          <w:lang w:val="en-TT"/>
        </w:rPr>
        <w:t>In assessing damages, personal injuries awards provide</w:t>
      </w:r>
      <w:r w:rsidRPr="009C3A86">
        <w:rPr>
          <w:rFonts w:eastAsiaTheme="minorHAnsi"/>
          <w:lang w:val="en-TT"/>
        </w:rPr>
        <w:t xml:space="preserve"> a useful</w:t>
      </w:r>
      <w:r w:rsidR="00103681" w:rsidRPr="009C3A86">
        <w:rPr>
          <w:rFonts w:eastAsiaTheme="minorHAnsi"/>
          <w:lang w:val="en-TT"/>
        </w:rPr>
        <w:t xml:space="preserve"> guide</w:t>
      </w:r>
      <w:r w:rsidRPr="009C3A86">
        <w:rPr>
          <w:rFonts w:eastAsiaTheme="minorHAnsi"/>
          <w:lang w:val="en-TT"/>
        </w:rPr>
        <w:t>.</w:t>
      </w:r>
      <w:r w:rsidR="00CC14AD" w:rsidRPr="009C3A86">
        <w:rPr>
          <w:rFonts w:eastAsiaTheme="minorHAnsi"/>
          <w:lang w:val="en-TT"/>
        </w:rPr>
        <w:t xml:space="preserve"> </w:t>
      </w:r>
      <w:r w:rsidR="00024B69" w:rsidRPr="009C3A86">
        <w:rPr>
          <w:rFonts w:eastAsiaTheme="minorHAnsi"/>
          <w:lang w:val="en-TT"/>
        </w:rPr>
        <w:t>(c)</w:t>
      </w:r>
      <w:r w:rsidR="009E1CAB" w:rsidRPr="009C3A86">
        <w:rPr>
          <w:rFonts w:eastAsiaTheme="minorHAnsi"/>
          <w:lang w:val="en-TT"/>
        </w:rPr>
        <w:t xml:space="preserve"> There is no need to prove psychiatric</w:t>
      </w:r>
      <w:r w:rsidR="00BB638F" w:rsidRPr="009C3A86">
        <w:rPr>
          <w:rFonts w:eastAsiaTheme="minorHAnsi"/>
          <w:lang w:val="en-TT"/>
        </w:rPr>
        <w:t xml:space="preserve"> injury to support the case of mental and/or emotional distress.</w:t>
      </w:r>
    </w:p>
    <w:p w14:paraId="1AC5DD20" w14:textId="5F7CF1CA" w:rsidR="00921C84" w:rsidRPr="009C3A86" w:rsidRDefault="00921C84" w:rsidP="009C3A86">
      <w:pPr>
        <w:spacing w:after="200" w:line="276" w:lineRule="auto"/>
        <w:jc w:val="both"/>
        <w:rPr>
          <w:rFonts w:eastAsiaTheme="minorHAnsi"/>
          <w:lang w:val="en-TT"/>
        </w:rPr>
      </w:pPr>
      <w:r w:rsidRPr="009C3A86">
        <w:rPr>
          <w:rFonts w:eastAsiaTheme="minorHAnsi"/>
          <w:lang w:val="en-TT"/>
        </w:rPr>
        <w:t>It should be noted that there is also authority supporting the principle that failure</w:t>
      </w:r>
      <w:r w:rsidR="00513BDC" w:rsidRPr="009C3A86">
        <w:rPr>
          <w:rFonts w:eastAsiaTheme="minorHAnsi"/>
          <w:lang w:val="en-TT"/>
        </w:rPr>
        <w:t xml:space="preserve"> on the part of Claimant to take care of his/her information or interest may lead to his claim being defeated.</w:t>
      </w:r>
      <w:r w:rsidR="00513BDC" w:rsidRPr="009C3A86">
        <w:rPr>
          <w:rStyle w:val="FootnoteReference"/>
          <w:rFonts w:eastAsiaTheme="minorHAnsi"/>
          <w:lang w:val="en-TT"/>
        </w:rPr>
        <w:footnoteReference w:id="9"/>
      </w:r>
    </w:p>
    <w:p w14:paraId="08866157" w14:textId="516E7F91" w:rsidR="00F1697D" w:rsidRPr="009C3A86" w:rsidRDefault="00F1697D" w:rsidP="009C3A86">
      <w:pPr>
        <w:spacing w:after="200" w:line="276" w:lineRule="auto"/>
        <w:jc w:val="both"/>
        <w:rPr>
          <w:rFonts w:eastAsiaTheme="minorHAnsi"/>
          <w:lang w:val="en-TT"/>
        </w:rPr>
      </w:pPr>
      <w:r w:rsidRPr="009C3A86">
        <w:rPr>
          <w:rFonts w:eastAsiaTheme="minorHAnsi"/>
          <w:lang w:val="en-TT"/>
        </w:rPr>
        <w:t>T</w:t>
      </w:r>
      <w:r w:rsidR="004D64BD" w:rsidRPr="009C3A86">
        <w:rPr>
          <w:rFonts w:eastAsiaTheme="minorHAnsi"/>
          <w:lang w:val="en-TT"/>
        </w:rPr>
        <w:t>he above has been subject to criticism as :-</w:t>
      </w:r>
    </w:p>
    <w:p w14:paraId="1720AD1A" w14:textId="50ED100F" w:rsidR="004D64BD" w:rsidRPr="009C3A86" w:rsidRDefault="009E5A41" w:rsidP="009C3A86">
      <w:pPr>
        <w:pStyle w:val="ListParagraph"/>
        <w:numPr>
          <w:ilvl w:val="0"/>
          <w:numId w:val="6"/>
        </w:numPr>
        <w:spacing w:after="200" w:line="276" w:lineRule="auto"/>
        <w:jc w:val="both"/>
        <w:rPr>
          <w:rFonts w:eastAsiaTheme="minorHAnsi"/>
          <w:lang w:val="en-TT"/>
        </w:rPr>
      </w:pPr>
      <w:r w:rsidRPr="009C3A86">
        <w:rPr>
          <w:rFonts w:eastAsiaTheme="minorHAnsi"/>
          <w:lang w:val="en-TT"/>
        </w:rPr>
        <w:t xml:space="preserve">Generally, </w:t>
      </w:r>
      <w:r w:rsidR="004D64BD" w:rsidRPr="009C3A86">
        <w:rPr>
          <w:rFonts w:eastAsiaTheme="minorHAnsi"/>
          <w:lang w:val="en-TT"/>
        </w:rPr>
        <w:t>damages are not recoverable as a common law remedy for mental or emotional distress falling short of psychiatric injury.</w:t>
      </w:r>
    </w:p>
    <w:p w14:paraId="3073BA7D" w14:textId="77777777" w:rsidR="004D64BD" w:rsidRPr="009C3A86" w:rsidRDefault="004D64BD" w:rsidP="009C3A86">
      <w:pPr>
        <w:pStyle w:val="ListParagraph"/>
        <w:spacing w:after="200" w:line="276" w:lineRule="auto"/>
        <w:ind w:left="1080"/>
        <w:jc w:val="both"/>
        <w:rPr>
          <w:rFonts w:eastAsiaTheme="minorHAnsi"/>
          <w:lang w:val="en-TT"/>
        </w:rPr>
      </w:pPr>
    </w:p>
    <w:p w14:paraId="2C30B5A2" w14:textId="494C9B37" w:rsidR="004D64BD" w:rsidRPr="009C3A86" w:rsidRDefault="004D64BD" w:rsidP="009C3A86">
      <w:pPr>
        <w:pStyle w:val="ListParagraph"/>
        <w:numPr>
          <w:ilvl w:val="0"/>
          <w:numId w:val="6"/>
        </w:numPr>
        <w:spacing w:after="200" w:line="276" w:lineRule="auto"/>
        <w:jc w:val="both"/>
        <w:rPr>
          <w:rFonts w:eastAsiaTheme="minorHAnsi"/>
          <w:lang w:val="en-TT"/>
        </w:rPr>
      </w:pPr>
      <w:r w:rsidRPr="009C3A86">
        <w:rPr>
          <w:rFonts w:eastAsiaTheme="minorHAnsi"/>
          <w:lang w:val="en-TT"/>
        </w:rPr>
        <w:lastRenderedPageBreak/>
        <w:t xml:space="preserve">Awards of equitable compensation has been associated </w:t>
      </w:r>
      <w:r w:rsidR="00A27885" w:rsidRPr="009C3A86">
        <w:rPr>
          <w:rFonts w:eastAsiaTheme="minorHAnsi"/>
          <w:lang w:val="en-TT"/>
        </w:rPr>
        <w:t xml:space="preserve">with </w:t>
      </w:r>
      <w:r w:rsidRPr="009C3A86">
        <w:rPr>
          <w:rFonts w:eastAsiaTheme="minorHAnsi"/>
          <w:lang w:val="en-TT"/>
        </w:rPr>
        <w:t>property and economic interest and is not available for personal injury.</w:t>
      </w:r>
      <w:r w:rsidRPr="009C3A86">
        <w:rPr>
          <w:rStyle w:val="FootnoteReference"/>
          <w:rFonts w:eastAsiaTheme="minorHAnsi"/>
          <w:lang w:val="en-TT"/>
        </w:rPr>
        <w:footnoteReference w:id="10"/>
      </w:r>
    </w:p>
    <w:p w14:paraId="1C55357F" w14:textId="1E88875A" w:rsidR="00E37853" w:rsidRPr="009C3A86" w:rsidRDefault="00983EEA" w:rsidP="009C3A86">
      <w:pPr>
        <w:spacing w:after="200" w:line="276" w:lineRule="auto"/>
        <w:jc w:val="both"/>
        <w:rPr>
          <w:rFonts w:eastAsiaTheme="minorHAnsi"/>
          <w:lang w:val="en-TT"/>
        </w:rPr>
      </w:pPr>
      <w:r w:rsidRPr="009C3A86">
        <w:rPr>
          <w:rFonts w:eastAsiaTheme="minorHAnsi"/>
          <w:lang w:val="en-TT"/>
        </w:rPr>
        <w:t>There is also authority for</w:t>
      </w:r>
      <w:r w:rsidR="00DB7B0B" w:rsidRPr="009C3A86">
        <w:rPr>
          <w:rFonts w:eastAsiaTheme="minorHAnsi"/>
          <w:lang w:val="en-TT"/>
        </w:rPr>
        <w:t xml:space="preserve"> the award of exemplary damages. The Court of Appeal of New Zealand in Aquaculture Corporation v New Zealand Green Mussel Co. Ltd. </w:t>
      </w:r>
      <w:r w:rsidR="00605B75" w:rsidRPr="009C3A86">
        <w:rPr>
          <w:rFonts w:eastAsiaTheme="minorHAnsi"/>
          <w:lang w:val="en-TT"/>
        </w:rPr>
        <w:t>p</w:t>
      </w:r>
      <w:r w:rsidR="00DB7B0B" w:rsidRPr="009C3A86">
        <w:rPr>
          <w:rFonts w:eastAsiaTheme="minorHAnsi"/>
          <w:lang w:val="en-TT"/>
        </w:rPr>
        <w:t>ostulated that in principle exemplary damages may be awarded for breach of confidence.</w:t>
      </w:r>
      <w:r w:rsidR="00DB7B0B" w:rsidRPr="009C3A86">
        <w:rPr>
          <w:rStyle w:val="FootnoteReference"/>
          <w:rFonts w:eastAsiaTheme="minorHAnsi"/>
          <w:lang w:val="en-TT"/>
        </w:rPr>
        <w:footnoteReference w:id="11"/>
      </w:r>
      <w:r w:rsidR="00DB7B0B" w:rsidRPr="009C3A86">
        <w:rPr>
          <w:rFonts w:eastAsiaTheme="minorHAnsi"/>
          <w:lang w:val="en-TT"/>
        </w:rPr>
        <w:t xml:space="preserve"> </w:t>
      </w:r>
      <w:r w:rsidR="00513BDC" w:rsidRPr="009C3A86">
        <w:rPr>
          <w:rFonts w:eastAsiaTheme="minorHAnsi"/>
          <w:lang w:val="en-TT"/>
        </w:rPr>
        <w:t xml:space="preserve">The Canadian case of Norberg </w:t>
      </w:r>
      <w:r w:rsidR="00040F15" w:rsidRPr="009C3A86">
        <w:rPr>
          <w:rFonts w:eastAsiaTheme="minorHAnsi"/>
          <w:i/>
          <w:iCs/>
          <w:lang w:val="en-AU"/>
        </w:rPr>
        <w:t xml:space="preserve">v </w:t>
      </w:r>
      <w:r w:rsidR="00040F15" w:rsidRPr="009C3A86">
        <w:rPr>
          <w:rFonts w:eastAsiaTheme="minorHAnsi"/>
          <w:iCs/>
          <w:lang w:val="en-AU"/>
        </w:rPr>
        <w:t>Wynrib</w:t>
      </w:r>
      <w:r w:rsidR="00513BDC" w:rsidRPr="009C3A86">
        <w:rPr>
          <w:rFonts w:eastAsiaTheme="minorHAnsi"/>
          <w:iCs/>
          <w:lang w:val="en-AU"/>
        </w:rPr>
        <w:t xml:space="preserve"> also supports this position</w:t>
      </w:r>
      <w:r w:rsidR="00513BDC" w:rsidRPr="009C3A86">
        <w:rPr>
          <w:rFonts w:eastAsiaTheme="minorHAnsi"/>
          <w:i/>
          <w:iCs/>
          <w:lang w:val="en-AU"/>
        </w:rPr>
        <w:t>.</w:t>
      </w:r>
      <w:r w:rsidR="00513BDC" w:rsidRPr="009C3A86">
        <w:rPr>
          <w:rStyle w:val="FootnoteReference"/>
          <w:rFonts w:eastAsiaTheme="minorHAnsi"/>
          <w:i/>
          <w:iCs/>
          <w:lang w:val="en-AU"/>
        </w:rPr>
        <w:footnoteReference w:id="12"/>
      </w:r>
      <w:r w:rsidR="00040F15" w:rsidRPr="009C3A86">
        <w:rPr>
          <w:rFonts w:eastAsiaTheme="minorHAnsi"/>
          <w:lang w:val="en-AU"/>
        </w:rPr>
        <w:t xml:space="preserve"> </w:t>
      </w:r>
    </w:p>
    <w:p w14:paraId="27B742E1" w14:textId="6BF00107" w:rsidR="00F465AD" w:rsidRPr="009C3A86" w:rsidRDefault="00BB638F" w:rsidP="009C3A86">
      <w:pPr>
        <w:spacing w:after="200" w:line="276" w:lineRule="auto"/>
        <w:jc w:val="both"/>
        <w:rPr>
          <w:iCs/>
          <w:color w:val="000000"/>
          <w:shd w:val="clear" w:color="auto" w:fill="FFFFFF"/>
        </w:rPr>
      </w:pPr>
      <w:r w:rsidRPr="009C3A86">
        <w:rPr>
          <w:rStyle w:val="apple-converted-space"/>
          <w:shd w:val="clear" w:color="auto" w:fill="FFFFFF"/>
        </w:rPr>
        <w:t xml:space="preserve">This position has been met </w:t>
      </w:r>
      <w:r w:rsidR="006B15F5" w:rsidRPr="009C3A86">
        <w:rPr>
          <w:rStyle w:val="apple-converted-space"/>
          <w:shd w:val="clear" w:color="auto" w:fill="FFFFFF"/>
        </w:rPr>
        <w:t xml:space="preserve">with </w:t>
      </w:r>
      <w:r w:rsidR="00605B75" w:rsidRPr="009C3A86">
        <w:rPr>
          <w:rStyle w:val="apple-converted-space"/>
          <w:shd w:val="clear" w:color="auto" w:fill="FFFFFF"/>
        </w:rPr>
        <w:t>disapproval</w:t>
      </w:r>
      <w:r w:rsidRPr="009C3A86">
        <w:rPr>
          <w:rStyle w:val="apple-converted-space"/>
          <w:shd w:val="clear" w:color="auto" w:fill="FFFFFF"/>
        </w:rPr>
        <w:t>. In</w:t>
      </w:r>
      <w:r w:rsidR="00605B75" w:rsidRPr="009C3A86">
        <w:rPr>
          <w:rStyle w:val="apple-converted-space"/>
          <w:shd w:val="clear" w:color="auto" w:fill="FFFFFF"/>
        </w:rPr>
        <w:t xml:space="preserve"> </w:t>
      </w:r>
      <w:r w:rsidR="009E1CAB" w:rsidRPr="009C3A86">
        <w:rPr>
          <w:rStyle w:val="Emphasis"/>
          <w:i w:val="0"/>
          <w:bdr w:val="none" w:sz="0" w:space="0" w:color="auto" w:frame="1"/>
          <w:shd w:val="clear" w:color="auto" w:fill="FFFFFF"/>
        </w:rPr>
        <w:t>Mosley -v- Newsgroup Newspapers</w:t>
      </w:r>
      <w:r w:rsidR="009E1CAB" w:rsidRPr="009C3A86">
        <w:rPr>
          <w:rStyle w:val="apple-converted-space"/>
          <w:i/>
          <w:shd w:val="clear" w:color="auto" w:fill="FFFFFF"/>
        </w:rPr>
        <w:t> </w:t>
      </w:r>
      <w:r w:rsidR="009E1CAB" w:rsidRPr="009C3A86">
        <w:rPr>
          <w:i/>
          <w:shd w:val="clear" w:color="auto" w:fill="FFFFFF"/>
        </w:rPr>
        <w:t>[2008] EWHC 1777 (QB) Eady J stated, "...</w:t>
      </w:r>
      <w:r w:rsidR="009E1CAB" w:rsidRPr="009C3A86">
        <w:rPr>
          <w:rStyle w:val="Emphasis"/>
          <w:i w:val="0"/>
          <w:bdr w:val="none" w:sz="0" w:space="0" w:color="auto" w:frame="1"/>
          <w:shd w:val="clear" w:color="auto" w:fill="FFFFFF"/>
        </w:rPr>
        <w:t>[E]xemplary damages are not admissible in a claim for infringement of privacy since there is no existing authority whether statutory or common law to justify such an extension and indeed it would fail the tests of necessity and proportionality</w:t>
      </w:r>
      <w:r w:rsidR="009E1CAB" w:rsidRPr="009C3A86">
        <w:rPr>
          <w:i/>
          <w:shd w:val="clear" w:color="auto" w:fill="FFFFFF"/>
        </w:rPr>
        <w:t>."</w:t>
      </w:r>
      <w:r w:rsidRPr="009C3A86">
        <w:rPr>
          <w:i/>
          <w:shd w:val="clear" w:color="auto" w:fill="FFFFFF"/>
        </w:rPr>
        <w:t xml:space="preserve"> </w:t>
      </w:r>
      <w:r w:rsidRPr="009C3A86">
        <w:rPr>
          <w:shd w:val="clear" w:color="auto" w:fill="FFFFFF"/>
        </w:rPr>
        <w:t>This position finds support in the</w:t>
      </w:r>
      <w:r w:rsidR="00CC14AD" w:rsidRPr="009C3A86">
        <w:rPr>
          <w:shd w:val="clear" w:color="auto" w:fill="FFFFFF"/>
        </w:rPr>
        <w:t xml:space="preserve"> </w:t>
      </w:r>
      <w:r w:rsidR="004D64BD" w:rsidRPr="009C3A86">
        <w:rPr>
          <w:shd w:val="clear" w:color="auto" w:fill="FFFFFF"/>
        </w:rPr>
        <w:t>case of</w:t>
      </w:r>
      <w:r w:rsidRPr="009C3A86">
        <w:rPr>
          <w:shd w:val="clear" w:color="auto" w:fill="FFFFFF"/>
        </w:rPr>
        <w:t xml:space="preserve"> </w:t>
      </w:r>
      <w:r w:rsidRPr="009C3A86">
        <w:rPr>
          <w:iCs/>
          <w:color w:val="000000"/>
          <w:shd w:val="clear" w:color="auto" w:fill="FFFFFF"/>
        </w:rPr>
        <w:t>Harris v Digital Pulse Pty Ltd.</w:t>
      </w:r>
      <w:r w:rsidRPr="009C3A86">
        <w:rPr>
          <w:rStyle w:val="FootnoteReference"/>
          <w:iCs/>
          <w:color w:val="000000"/>
          <w:shd w:val="clear" w:color="auto" w:fill="FFFFFF"/>
        </w:rPr>
        <w:footnoteReference w:id="13"/>
      </w:r>
    </w:p>
    <w:p w14:paraId="24111270" w14:textId="3A4F63DC" w:rsidR="00F465AD" w:rsidRPr="009C3A86" w:rsidRDefault="004B0172" w:rsidP="009C3A86">
      <w:pPr>
        <w:spacing w:after="200" w:line="276" w:lineRule="auto"/>
        <w:jc w:val="both"/>
        <w:rPr>
          <w:iCs/>
          <w:color w:val="000000"/>
          <w:shd w:val="clear" w:color="auto" w:fill="FFFFFF"/>
        </w:rPr>
      </w:pPr>
      <w:r w:rsidRPr="009C3A86">
        <w:rPr>
          <w:color w:val="000000"/>
          <w:shd w:val="clear" w:color="auto" w:fill="FFFFFF"/>
        </w:rPr>
        <w:t xml:space="preserve">Harris case seems to </w:t>
      </w:r>
      <w:r w:rsidR="00771A81" w:rsidRPr="009C3A86">
        <w:rPr>
          <w:color w:val="000000"/>
          <w:shd w:val="clear" w:color="auto" w:fill="FFFFFF"/>
        </w:rPr>
        <w:t xml:space="preserve">treat the issue as one of fusion between the common law and </w:t>
      </w:r>
      <w:r w:rsidR="0016466F" w:rsidRPr="009C3A86">
        <w:rPr>
          <w:color w:val="000000"/>
          <w:shd w:val="clear" w:color="auto" w:fill="FFFFFF"/>
        </w:rPr>
        <w:t xml:space="preserve">equity. </w:t>
      </w:r>
      <w:r w:rsidR="00771A81" w:rsidRPr="009C3A86">
        <w:rPr>
          <w:color w:val="000000"/>
          <w:shd w:val="clear" w:color="auto" w:fill="FFFFFF"/>
        </w:rPr>
        <w:t>It has stated</w:t>
      </w:r>
      <w:r w:rsidR="00F465AD" w:rsidRPr="009C3A86">
        <w:rPr>
          <w:color w:val="000000"/>
          <w:shd w:val="clear" w:color="auto" w:fill="FFFFFF"/>
        </w:rPr>
        <w:t xml:space="preserve"> that the availability of exemplary damages at common law but</w:t>
      </w:r>
      <w:r w:rsidR="00F465AD" w:rsidRPr="009C3A86">
        <w:rPr>
          <w:rStyle w:val="apple-converted-space"/>
          <w:color w:val="000000"/>
          <w:shd w:val="clear" w:color="auto" w:fill="FFFFFF"/>
        </w:rPr>
        <w:t> </w:t>
      </w:r>
      <w:r w:rsidR="003525D5" w:rsidRPr="009C3A86">
        <w:rPr>
          <w:rStyle w:val="apple-converted-space"/>
          <w:color w:val="000000"/>
          <w:shd w:val="clear" w:color="auto" w:fill="FFFFFF"/>
        </w:rPr>
        <w:t>not in equity can be a source of legal</w:t>
      </w:r>
      <w:r w:rsidR="00F465AD" w:rsidRPr="009C3A86">
        <w:rPr>
          <w:color w:val="000000"/>
          <w:shd w:val="clear" w:color="auto" w:fill="FFFFFF"/>
        </w:rPr>
        <w:t xml:space="preserve"> incoherence.</w:t>
      </w:r>
      <w:r w:rsidR="00F465AD" w:rsidRPr="009C3A86">
        <w:rPr>
          <w:rStyle w:val="FootnoteReference"/>
          <w:color w:val="000000"/>
          <w:shd w:val="clear" w:color="auto" w:fill="FFFFFF"/>
        </w:rPr>
        <w:footnoteReference w:id="14"/>
      </w:r>
    </w:p>
    <w:p w14:paraId="3FC7FB67" w14:textId="77777777" w:rsidR="004D73D3" w:rsidRPr="009C3A86" w:rsidRDefault="004D73D3" w:rsidP="009C3A86">
      <w:pPr>
        <w:spacing w:after="200" w:line="276" w:lineRule="auto"/>
        <w:jc w:val="both"/>
        <w:rPr>
          <w:rFonts w:eastAsiaTheme="minorHAnsi"/>
          <w:b/>
          <w:lang w:val="en-TT"/>
        </w:rPr>
      </w:pPr>
      <w:r w:rsidRPr="009C3A86">
        <w:rPr>
          <w:rFonts w:eastAsiaTheme="minorHAnsi"/>
          <w:b/>
          <w:lang w:val="en-TT"/>
        </w:rPr>
        <w:t xml:space="preserve">Way Forward- Need for legislative intervention </w:t>
      </w:r>
    </w:p>
    <w:p w14:paraId="3C7F5362" w14:textId="6111DEC2" w:rsidR="0016466F" w:rsidRPr="009C3A86" w:rsidRDefault="0016466F" w:rsidP="009C3A86">
      <w:pPr>
        <w:jc w:val="both"/>
      </w:pPr>
      <w:r w:rsidRPr="009C3A86">
        <w:t>The law on breach of confidence is at a watershed in that commercial secrets/confidential information have evolved and developed into protection of private information. There has been judicial willingness particularly in the Australian jurisdiction to develop the action for breach</w:t>
      </w:r>
      <w:r w:rsidR="00302CD9">
        <w:t xml:space="preserve"> of confidence</w:t>
      </w:r>
      <w:r w:rsidRPr="009C3A86">
        <w:t xml:space="preserve"> to protect private interests. It is submitted that the approa</w:t>
      </w:r>
      <w:r w:rsidR="00A27885" w:rsidRPr="009C3A86">
        <w:t>ch o</w:t>
      </w:r>
      <w:r w:rsidRPr="009C3A86">
        <w:t xml:space="preserve">f the courts </w:t>
      </w:r>
      <w:r w:rsidR="00C108B0" w:rsidRPr="009C3A86">
        <w:t>has</w:t>
      </w:r>
      <w:r w:rsidRPr="009C3A86">
        <w:t xml:space="preserve"> been generally sympathetic to individuals and it is in these circumstances judges have been prepared to extend the reach of the breach of confidence to create a remedy. </w:t>
      </w:r>
    </w:p>
    <w:p w14:paraId="28D45F6A" w14:textId="77777777" w:rsidR="0016466F" w:rsidRPr="009C3A86" w:rsidRDefault="0016466F" w:rsidP="009C3A86">
      <w:pPr>
        <w:jc w:val="both"/>
      </w:pPr>
    </w:p>
    <w:p w14:paraId="7BAEBDC6" w14:textId="19E12FA6" w:rsidR="0016466F" w:rsidRPr="009C3A86" w:rsidRDefault="0016466F" w:rsidP="009C3A86">
      <w:pPr>
        <w:jc w:val="both"/>
      </w:pPr>
      <w:r w:rsidRPr="009C3A86">
        <w:t>Given the pace of technological change it has become necessary that the legislature takes control. Associate Professor David Ralph a media law expert at University of Sydney Law School commenting on the case of Wilson v Ferguson said the case “indicates that a breach of confidence might provide a remedy for addressing a lot of personal privacy concerns.</w:t>
      </w:r>
      <w:r w:rsidR="00805E7F" w:rsidRPr="009C3A86">
        <w:t>”</w:t>
      </w:r>
    </w:p>
    <w:p w14:paraId="79B359B3" w14:textId="112B59E5" w:rsidR="0016466F" w:rsidRPr="009C3A86" w:rsidRDefault="0016466F" w:rsidP="009C3A86">
      <w:pPr>
        <w:jc w:val="both"/>
      </w:pPr>
      <w:r w:rsidRPr="009C3A86">
        <w:t xml:space="preserve">He also lamented that there are damages when one uses existing causes of actions to new situations they </w:t>
      </w:r>
      <w:r w:rsidR="006B15F5" w:rsidRPr="009C3A86">
        <w:t>do not</w:t>
      </w:r>
      <w:r w:rsidRPr="009C3A86">
        <w:t xml:space="preserve"> fit, may distort the law and produce unintended consequences.</w:t>
      </w:r>
    </w:p>
    <w:p w14:paraId="70852322" w14:textId="3157E667" w:rsidR="0016466F" w:rsidRPr="009C3A86" w:rsidRDefault="0016466F" w:rsidP="009C3A86">
      <w:pPr>
        <w:jc w:val="both"/>
      </w:pPr>
      <w:r w:rsidRPr="009C3A86">
        <w:t xml:space="preserve">Mr. Ralph is quoted as saying “my own view is that privacy is a value worth protecting, </w:t>
      </w:r>
      <w:r w:rsidR="009E5A41" w:rsidRPr="009C3A86">
        <w:t>it’s</w:t>
      </w:r>
      <w:r w:rsidRPr="009C3A86">
        <w:t xml:space="preserve"> worth protecting directly and we should think about that in a broader more comprehensive way”.</w:t>
      </w:r>
    </w:p>
    <w:p w14:paraId="76047675" w14:textId="0B259631" w:rsidR="004D73D3" w:rsidRPr="009C3A86" w:rsidRDefault="004D73D3" w:rsidP="009C3A86">
      <w:pPr>
        <w:spacing w:after="200" w:line="276" w:lineRule="auto"/>
        <w:jc w:val="both"/>
        <w:rPr>
          <w:rFonts w:eastAsiaTheme="minorHAnsi"/>
          <w:lang w:val="en-TT"/>
        </w:rPr>
      </w:pPr>
    </w:p>
    <w:p w14:paraId="244150C1" w14:textId="14480F25" w:rsidR="004D73D3" w:rsidRPr="009C3A86" w:rsidRDefault="0016466F" w:rsidP="009C3A86">
      <w:pPr>
        <w:spacing w:after="200" w:line="276" w:lineRule="auto"/>
        <w:jc w:val="both"/>
        <w:rPr>
          <w:rFonts w:eastAsiaTheme="minorHAnsi"/>
          <w:lang w:val="en-TT"/>
        </w:rPr>
      </w:pPr>
      <w:r w:rsidRPr="009C3A86">
        <w:rPr>
          <w:rFonts w:eastAsiaTheme="minorHAnsi"/>
          <w:lang w:val="en-TT"/>
        </w:rPr>
        <w:t xml:space="preserve">Given the uncertainty of the law particularly </w:t>
      </w:r>
      <w:r w:rsidR="005F7287" w:rsidRPr="009C3A86">
        <w:rPr>
          <w:rFonts w:eastAsiaTheme="minorHAnsi"/>
          <w:lang w:val="en-TT"/>
        </w:rPr>
        <w:t>in</w:t>
      </w:r>
      <w:r w:rsidRPr="009C3A86">
        <w:rPr>
          <w:rFonts w:eastAsiaTheme="minorHAnsi"/>
          <w:lang w:val="en-TT"/>
        </w:rPr>
        <w:t xml:space="preserve"> the </w:t>
      </w:r>
      <w:r w:rsidR="005F7287" w:rsidRPr="009C3A86">
        <w:rPr>
          <w:rFonts w:eastAsiaTheme="minorHAnsi"/>
          <w:lang w:val="en-TT"/>
        </w:rPr>
        <w:t xml:space="preserve">area of the extent of equitable compensation </w:t>
      </w:r>
      <w:r w:rsidR="009E5A41" w:rsidRPr="009C3A86">
        <w:rPr>
          <w:rFonts w:eastAsiaTheme="minorHAnsi"/>
          <w:lang w:val="en-TT"/>
        </w:rPr>
        <w:t xml:space="preserve">remedies, </w:t>
      </w:r>
      <w:r w:rsidR="00084257" w:rsidRPr="009C3A86">
        <w:rPr>
          <w:rFonts w:eastAsiaTheme="minorHAnsi"/>
          <w:lang w:val="en-TT"/>
        </w:rPr>
        <w:t>t</w:t>
      </w:r>
      <w:r w:rsidR="004D73D3" w:rsidRPr="009C3A86">
        <w:rPr>
          <w:rFonts w:eastAsiaTheme="minorHAnsi"/>
          <w:lang w:val="en-TT"/>
        </w:rPr>
        <w:t xml:space="preserve">here is need to create a generalized tort that </w:t>
      </w:r>
      <w:r w:rsidR="005F7287" w:rsidRPr="009C3A86">
        <w:rPr>
          <w:rFonts w:eastAsiaTheme="minorHAnsi"/>
          <w:lang w:val="en-TT"/>
        </w:rPr>
        <w:t>is far more wide ranging with its focus being</w:t>
      </w:r>
      <w:r w:rsidR="004D73D3" w:rsidRPr="009C3A86">
        <w:rPr>
          <w:rFonts w:eastAsiaTheme="minorHAnsi"/>
          <w:lang w:val="en-TT"/>
        </w:rPr>
        <w:t xml:space="preserve"> on the intrusion into the individual’s private life as opposed to a breach of trust between</w:t>
      </w:r>
      <w:r w:rsidR="005F7287" w:rsidRPr="009C3A86">
        <w:rPr>
          <w:rFonts w:eastAsiaTheme="minorHAnsi"/>
          <w:lang w:val="en-TT"/>
        </w:rPr>
        <w:t xml:space="preserve"> the parties. </w:t>
      </w:r>
    </w:p>
    <w:p w14:paraId="78C3C577" w14:textId="549F9387" w:rsidR="004D73D3" w:rsidRPr="009C3A86" w:rsidRDefault="004D73D3" w:rsidP="009C3A86">
      <w:pPr>
        <w:spacing w:after="200" w:line="276" w:lineRule="auto"/>
        <w:jc w:val="both"/>
        <w:rPr>
          <w:rFonts w:eastAsiaTheme="minorHAnsi"/>
          <w:lang w:val="en-TT"/>
        </w:rPr>
      </w:pPr>
      <w:r w:rsidRPr="009C3A86">
        <w:rPr>
          <w:rFonts w:eastAsiaTheme="minorHAnsi"/>
          <w:lang w:val="en-TT"/>
        </w:rPr>
        <w:t xml:space="preserve">The legislation </w:t>
      </w:r>
      <w:r w:rsidR="00052E17" w:rsidRPr="009C3A86">
        <w:rPr>
          <w:rFonts w:eastAsiaTheme="minorHAnsi"/>
          <w:lang w:val="en-TT"/>
        </w:rPr>
        <w:t>should</w:t>
      </w:r>
      <w:r w:rsidRPr="009C3A86">
        <w:rPr>
          <w:rFonts w:eastAsiaTheme="minorHAnsi"/>
          <w:lang w:val="en-TT"/>
        </w:rPr>
        <w:t>: -</w:t>
      </w:r>
    </w:p>
    <w:p w14:paraId="1649903B" w14:textId="78810C5B" w:rsidR="00052E17" w:rsidRPr="009C3A86" w:rsidRDefault="00052E17" w:rsidP="009C3A86">
      <w:pPr>
        <w:numPr>
          <w:ilvl w:val="0"/>
          <w:numId w:val="5"/>
        </w:numPr>
        <w:spacing w:after="200" w:line="276" w:lineRule="auto"/>
        <w:contextualSpacing/>
        <w:jc w:val="both"/>
        <w:rPr>
          <w:rFonts w:eastAsiaTheme="minorHAnsi"/>
          <w:lang w:val="en-TT"/>
        </w:rPr>
      </w:pPr>
      <w:r w:rsidRPr="009C3A86">
        <w:rPr>
          <w:rFonts w:eastAsiaTheme="minorHAnsi"/>
          <w:lang w:val="en-TT"/>
        </w:rPr>
        <w:t>Define the categories of personal relationships which may include the passing of confidential information</w:t>
      </w:r>
    </w:p>
    <w:p w14:paraId="09C3F141" w14:textId="777485BA" w:rsidR="00052E17" w:rsidRPr="009C3A86" w:rsidRDefault="00052E17" w:rsidP="009C3A86">
      <w:pPr>
        <w:numPr>
          <w:ilvl w:val="0"/>
          <w:numId w:val="5"/>
        </w:numPr>
        <w:spacing w:after="200" w:line="276" w:lineRule="auto"/>
        <w:contextualSpacing/>
        <w:jc w:val="both"/>
        <w:rPr>
          <w:rFonts w:eastAsiaTheme="minorHAnsi"/>
          <w:lang w:val="en-TT"/>
        </w:rPr>
      </w:pPr>
      <w:r w:rsidRPr="009C3A86">
        <w:rPr>
          <w:rFonts w:eastAsiaTheme="minorHAnsi"/>
          <w:lang w:val="en-TT"/>
        </w:rPr>
        <w:t xml:space="preserve">Facilitate for not only actual but also threatened misuse of the </w:t>
      </w:r>
      <w:r w:rsidR="006B15F5" w:rsidRPr="009C3A86">
        <w:rPr>
          <w:rFonts w:eastAsiaTheme="minorHAnsi"/>
          <w:lang w:val="en-TT"/>
        </w:rPr>
        <w:t xml:space="preserve">confidential </w:t>
      </w:r>
      <w:r w:rsidRPr="009C3A86">
        <w:rPr>
          <w:rFonts w:eastAsiaTheme="minorHAnsi"/>
          <w:lang w:val="en-TT"/>
        </w:rPr>
        <w:t>information</w:t>
      </w:r>
    </w:p>
    <w:p w14:paraId="4DDC93AD" w14:textId="21CC53F8" w:rsidR="00052E17" w:rsidRPr="009C3A86" w:rsidRDefault="006B15F5" w:rsidP="009C3A86">
      <w:pPr>
        <w:numPr>
          <w:ilvl w:val="0"/>
          <w:numId w:val="5"/>
        </w:numPr>
        <w:spacing w:after="200" w:line="276" w:lineRule="auto"/>
        <w:contextualSpacing/>
        <w:jc w:val="both"/>
        <w:rPr>
          <w:rFonts w:eastAsiaTheme="minorHAnsi"/>
          <w:lang w:val="en-TT"/>
        </w:rPr>
      </w:pPr>
      <w:r w:rsidRPr="009C3A86">
        <w:rPr>
          <w:rFonts w:eastAsiaTheme="minorHAnsi"/>
          <w:lang w:val="en-TT"/>
        </w:rPr>
        <w:t xml:space="preserve">Define the liability </w:t>
      </w:r>
      <w:r w:rsidR="009E5A41" w:rsidRPr="009C3A86">
        <w:rPr>
          <w:rFonts w:eastAsiaTheme="minorHAnsi"/>
          <w:lang w:val="en-TT"/>
        </w:rPr>
        <w:t xml:space="preserve">of </w:t>
      </w:r>
      <w:r w:rsidRPr="009C3A86">
        <w:rPr>
          <w:rFonts w:eastAsiaTheme="minorHAnsi"/>
          <w:lang w:val="en-TT"/>
        </w:rPr>
        <w:t>Third party recipients of the confidential information</w:t>
      </w:r>
    </w:p>
    <w:p w14:paraId="77102F49" w14:textId="5E997965" w:rsidR="00052E17" w:rsidRPr="003A12BC" w:rsidRDefault="00052E17" w:rsidP="003A12BC">
      <w:pPr>
        <w:numPr>
          <w:ilvl w:val="0"/>
          <w:numId w:val="5"/>
        </w:numPr>
        <w:spacing w:after="200" w:line="276" w:lineRule="auto"/>
        <w:contextualSpacing/>
        <w:jc w:val="both"/>
        <w:rPr>
          <w:rFonts w:eastAsiaTheme="minorHAnsi"/>
          <w:lang w:val="en-TT"/>
        </w:rPr>
      </w:pPr>
      <w:r w:rsidRPr="009C3A86">
        <w:rPr>
          <w:rFonts w:eastAsiaTheme="minorHAnsi"/>
          <w:lang w:val="en-TT"/>
        </w:rPr>
        <w:t xml:space="preserve">Place obligations on Innocent Recipients </w:t>
      </w:r>
      <w:r w:rsidR="006B15F5" w:rsidRPr="009C3A86">
        <w:rPr>
          <w:rFonts w:eastAsiaTheme="minorHAnsi"/>
          <w:lang w:val="en-TT"/>
        </w:rPr>
        <w:t>of confidential information</w:t>
      </w:r>
      <w:bookmarkStart w:id="0" w:name="_GoBack"/>
      <w:bookmarkEnd w:id="0"/>
    </w:p>
    <w:p w14:paraId="097B5FC5" w14:textId="014A0828" w:rsidR="004D73D3" w:rsidRPr="009C3A86" w:rsidRDefault="00040F15" w:rsidP="009C3A86">
      <w:pPr>
        <w:numPr>
          <w:ilvl w:val="0"/>
          <w:numId w:val="5"/>
        </w:numPr>
        <w:spacing w:after="200" w:line="276" w:lineRule="auto"/>
        <w:contextualSpacing/>
        <w:jc w:val="both"/>
        <w:rPr>
          <w:rFonts w:eastAsiaTheme="minorHAnsi"/>
          <w:lang w:val="en-TT"/>
        </w:rPr>
      </w:pPr>
      <w:r w:rsidRPr="009C3A86">
        <w:rPr>
          <w:rFonts w:eastAsiaTheme="minorHAnsi"/>
          <w:lang w:val="en-TT"/>
        </w:rPr>
        <w:t xml:space="preserve">Provide for </w:t>
      </w:r>
      <w:r w:rsidR="004D73D3" w:rsidRPr="009C3A86">
        <w:rPr>
          <w:rFonts w:eastAsiaTheme="minorHAnsi"/>
          <w:lang w:val="en-TT"/>
        </w:rPr>
        <w:t xml:space="preserve">damages for mental and emotional distress. </w:t>
      </w:r>
    </w:p>
    <w:p w14:paraId="5D15ADA8" w14:textId="7700E58D" w:rsidR="004D73D3" w:rsidRDefault="00040F15" w:rsidP="009C3A86">
      <w:pPr>
        <w:numPr>
          <w:ilvl w:val="0"/>
          <w:numId w:val="5"/>
        </w:numPr>
        <w:spacing w:after="200" w:line="276" w:lineRule="auto"/>
        <w:contextualSpacing/>
        <w:jc w:val="both"/>
        <w:rPr>
          <w:rFonts w:eastAsiaTheme="minorHAnsi"/>
          <w:lang w:val="en-TT"/>
        </w:rPr>
      </w:pPr>
      <w:r w:rsidRPr="009C3A86">
        <w:rPr>
          <w:rFonts w:eastAsiaTheme="minorHAnsi"/>
          <w:lang w:val="en-TT"/>
        </w:rPr>
        <w:t xml:space="preserve">Provide for </w:t>
      </w:r>
      <w:r w:rsidR="004D73D3" w:rsidRPr="009C3A86">
        <w:rPr>
          <w:rFonts w:eastAsiaTheme="minorHAnsi"/>
          <w:lang w:val="en-TT"/>
        </w:rPr>
        <w:t xml:space="preserve">exemplary damages so that same could act as a deterrent. </w:t>
      </w:r>
    </w:p>
    <w:p w14:paraId="0E4E15F6" w14:textId="77777777" w:rsidR="00EB4DA8" w:rsidRDefault="00EB4DA8" w:rsidP="00EB4DA8">
      <w:pPr>
        <w:spacing w:after="200" w:line="276" w:lineRule="auto"/>
        <w:contextualSpacing/>
        <w:jc w:val="both"/>
        <w:rPr>
          <w:rFonts w:eastAsiaTheme="minorHAnsi"/>
          <w:lang w:val="en-TT"/>
        </w:rPr>
      </w:pPr>
    </w:p>
    <w:p w14:paraId="7DF74B66" w14:textId="199FA3B3" w:rsidR="00EB4DA8" w:rsidRDefault="00EB4DA8" w:rsidP="00EB4DA8">
      <w:pPr>
        <w:spacing w:after="200" w:line="276" w:lineRule="auto"/>
        <w:contextualSpacing/>
        <w:jc w:val="both"/>
        <w:rPr>
          <w:rFonts w:eastAsiaTheme="minorHAnsi"/>
          <w:lang w:val="en-TT"/>
        </w:rPr>
      </w:pPr>
      <w:r>
        <w:rPr>
          <w:rFonts w:eastAsiaTheme="minorHAnsi"/>
          <w:lang w:val="en-TT"/>
        </w:rPr>
        <w:t>In closing I would like to quote Justice Seepersad in There</w:t>
      </w:r>
      <w:r w:rsidR="00302CD9">
        <w:rPr>
          <w:rFonts w:eastAsiaTheme="minorHAnsi"/>
          <w:lang w:val="en-TT"/>
        </w:rPr>
        <w:t>se Ho case.</w:t>
      </w:r>
    </w:p>
    <w:p w14:paraId="2164B9F5" w14:textId="710DA094" w:rsidR="00EB4DA8" w:rsidRDefault="00EB4DA8" w:rsidP="00EB4DA8">
      <w:pPr>
        <w:spacing w:after="200" w:line="276" w:lineRule="auto"/>
        <w:contextualSpacing/>
        <w:jc w:val="both"/>
        <w:rPr>
          <w:rFonts w:eastAsiaTheme="minorHAnsi"/>
          <w:lang w:val="en-TT"/>
        </w:rPr>
      </w:pPr>
    </w:p>
    <w:p w14:paraId="32D6444E" w14:textId="518FD051" w:rsidR="00EB4DA8" w:rsidRDefault="00EB4DA8" w:rsidP="00302CD9">
      <w:pPr>
        <w:spacing w:after="200" w:line="276" w:lineRule="auto"/>
        <w:ind w:left="720"/>
        <w:contextualSpacing/>
        <w:jc w:val="both"/>
        <w:rPr>
          <w:rFonts w:eastAsiaTheme="minorHAnsi"/>
          <w:lang w:val="en-TT"/>
        </w:rPr>
      </w:pPr>
      <w:r>
        <w:rPr>
          <w:rFonts w:eastAsiaTheme="minorHAnsi"/>
          <w:lang w:val="en-TT"/>
        </w:rPr>
        <w:t>“</w:t>
      </w:r>
      <w:r w:rsidR="00302CD9">
        <w:rPr>
          <w:rFonts w:eastAsiaTheme="minorHAnsi"/>
          <w:lang w:val="en-TT"/>
        </w:rPr>
        <w:t>G</w:t>
      </w:r>
      <w:r>
        <w:rPr>
          <w:rFonts w:eastAsiaTheme="minorHAnsi"/>
          <w:lang w:val="en-TT"/>
        </w:rPr>
        <w:t xml:space="preserve">iven the rapid pace with which the face and fabric of the society has changed and cognizant of the infinite reach of social media, it cannot be denied that the privacy of the person is under attack and there is dire need for the enactment </w:t>
      </w:r>
      <w:r w:rsidR="008B7017">
        <w:rPr>
          <w:rFonts w:eastAsiaTheme="minorHAnsi"/>
          <w:lang w:val="en-TT"/>
        </w:rPr>
        <w:t xml:space="preserve">of statute to afford protection for citizens’ </w:t>
      </w:r>
    </w:p>
    <w:p w14:paraId="64E7F090" w14:textId="11C0BD62" w:rsidR="008B7017" w:rsidRDefault="008B7017" w:rsidP="00EB4DA8">
      <w:pPr>
        <w:spacing w:after="200" w:line="276" w:lineRule="auto"/>
        <w:contextualSpacing/>
        <w:jc w:val="both"/>
        <w:rPr>
          <w:rFonts w:eastAsiaTheme="minorHAnsi"/>
          <w:lang w:val="en-TT"/>
        </w:rPr>
      </w:pPr>
    </w:p>
    <w:p w14:paraId="2A2E0CAE" w14:textId="2385EB3B" w:rsidR="008B7017" w:rsidRPr="009C3A86" w:rsidRDefault="00302CD9" w:rsidP="00302CD9">
      <w:pPr>
        <w:spacing w:after="200" w:line="276" w:lineRule="auto"/>
        <w:ind w:left="720"/>
        <w:contextualSpacing/>
        <w:jc w:val="both"/>
        <w:rPr>
          <w:rFonts w:eastAsiaTheme="minorHAnsi"/>
          <w:lang w:val="en-TT"/>
        </w:rPr>
      </w:pPr>
      <w:r>
        <w:rPr>
          <w:rFonts w:eastAsiaTheme="minorHAnsi"/>
          <w:lang w:val="en-TT"/>
        </w:rPr>
        <w:t>“O</w:t>
      </w:r>
      <w:r w:rsidR="008B7017">
        <w:rPr>
          <w:rFonts w:eastAsiaTheme="minorHAnsi"/>
          <w:lang w:val="en-TT"/>
        </w:rPr>
        <w:t xml:space="preserve">nline conversations and the dissemination of information over the internet initiate an open ended forum. The internet is a comprehensive and cohesive database and there is really no anonymity in relation to the use of same. Photographs uploaded unto the internet can be retrieved forever. The impact upon an individual’s privacy is tremendous and the absence of clear and cohesive </w:t>
      </w:r>
      <w:r w:rsidR="00ED1645">
        <w:rPr>
          <w:rFonts w:eastAsiaTheme="minorHAnsi"/>
          <w:lang w:val="en-TT"/>
        </w:rPr>
        <w:t>legislation to protect our citizen’s privacy and to punish those who violate the rights of others can cause us to descend into a bottomless pit of anarchy.”</w:t>
      </w:r>
    </w:p>
    <w:p w14:paraId="23B3DC80" w14:textId="77777777" w:rsidR="004D73D3" w:rsidRPr="009C3A86" w:rsidRDefault="004D73D3" w:rsidP="009C3A86">
      <w:pPr>
        <w:spacing w:after="200" w:line="276" w:lineRule="auto"/>
        <w:ind w:left="1080"/>
        <w:contextualSpacing/>
        <w:jc w:val="both"/>
        <w:rPr>
          <w:rFonts w:eastAsiaTheme="minorHAnsi"/>
          <w:lang w:val="en-TT"/>
        </w:rPr>
      </w:pPr>
    </w:p>
    <w:p w14:paraId="461EE581" w14:textId="77777777" w:rsidR="004D73D3" w:rsidRPr="009C3A86" w:rsidRDefault="004D73D3" w:rsidP="009C3A86">
      <w:pPr>
        <w:spacing w:line="360" w:lineRule="auto"/>
        <w:jc w:val="both"/>
      </w:pPr>
    </w:p>
    <w:p w14:paraId="2A5758E3" w14:textId="77777777" w:rsidR="004D73D3" w:rsidRDefault="004D73D3" w:rsidP="006026E9">
      <w:pPr>
        <w:spacing w:line="360" w:lineRule="auto"/>
        <w:jc w:val="both"/>
      </w:pPr>
    </w:p>
    <w:p w14:paraId="73F9B9D4" w14:textId="77777777" w:rsidR="005F54D9" w:rsidRDefault="005F54D9" w:rsidP="006026E9">
      <w:pPr>
        <w:spacing w:line="360" w:lineRule="auto"/>
        <w:jc w:val="both"/>
      </w:pPr>
    </w:p>
    <w:p w14:paraId="4E5AF127" w14:textId="77777777" w:rsidR="005F54D9" w:rsidRDefault="005F54D9" w:rsidP="006026E9">
      <w:pPr>
        <w:spacing w:line="360" w:lineRule="auto"/>
        <w:jc w:val="both"/>
      </w:pPr>
    </w:p>
    <w:p w14:paraId="11E237D1" w14:textId="77777777" w:rsidR="005F54D9" w:rsidRDefault="005F54D9" w:rsidP="006026E9">
      <w:pPr>
        <w:spacing w:line="360" w:lineRule="auto"/>
        <w:jc w:val="both"/>
      </w:pPr>
    </w:p>
    <w:sectPr w:rsidR="005F54D9" w:rsidSect="00BC5D06">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19DE8" w14:textId="77777777" w:rsidR="002E0B49" w:rsidRDefault="002E0B49" w:rsidP="003B52D0">
      <w:r>
        <w:separator/>
      </w:r>
    </w:p>
  </w:endnote>
  <w:endnote w:type="continuationSeparator" w:id="0">
    <w:p w14:paraId="4A73BD39" w14:textId="77777777" w:rsidR="002E0B49" w:rsidRDefault="002E0B49" w:rsidP="003B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11470"/>
      <w:docPartObj>
        <w:docPartGallery w:val="Page Numbers (Bottom of Page)"/>
        <w:docPartUnique/>
      </w:docPartObj>
    </w:sdtPr>
    <w:sdtEndPr>
      <w:rPr>
        <w:noProof/>
      </w:rPr>
    </w:sdtEndPr>
    <w:sdtContent>
      <w:p w14:paraId="53EE0445" w14:textId="1E9CE77C" w:rsidR="002E0B49" w:rsidRDefault="002E0B49">
        <w:pPr>
          <w:pStyle w:val="Footer"/>
          <w:jc w:val="right"/>
        </w:pPr>
        <w:r>
          <w:fldChar w:fldCharType="begin"/>
        </w:r>
        <w:r>
          <w:instrText xml:space="preserve"> PAGE   \* MERGEFORMAT </w:instrText>
        </w:r>
        <w:r>
          <w:fldChar w:fldCharType="separate"/>
        </w:r>
        <w:r w:rsidR="003A12BC">
          <w:rPr>
            <w:noProof/>
          </w:rPr>
          <w:t>1</w:t>
        </w:r>
        <w:r>
          <w:rPr>
            <w:noProof/>
          </w:rPr>
          <w:fldChar w:fldCharType="end"/>
        </w:r>
      </w:p>
    </w:sdtContent>
  </w:sdt>
  <w:p w14:paraId="6D26BF5A" w14:textId="77777777" w:rsidR="002E0B49" w:rsidRDefault="002E0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7DC4E" w14:textId="77777777" w:rsidR="002E0B49" w:rsidRDefault="002E0B49" w:rsidP="003B52D0">
      <w:r>
        <w:separator/>
      </w:r>
    </w:p>
  </w:footnote>
  <w:footnote w:type="continuationSeparator" w:id="0">
    <w:p w14:paraId="311B5283" w14:textId="77777777" w:rsidR="002E0B49" w:rsidRDefault="002E0B49" w:rsidP="003B52D0">
      <w:r>
        <w:continuationSeparator/>
      </w:r>
    </w:p>
  </w:footnote>
  <w:footnote w:id="1">
    <w:p w14:paraId="00392B96" w14:textId="77777777" w:rsidR="002E0B49" w:rsidRPr="00372958" w:rsidRDefault="002E0B49">
      <w:pPr>
        <w:pStyle w:val="FootnoteText"/>
        <w:rPr>
          <w:rFonts w:ascii="Times New Roman" w:hAnsi="Times New Roman"/>
          <w:lang w:val="en-US"/>
        </w:rPr>
      </w:pPr>
      <w:r w:rsidRPr="00372958">
        <w:rPr>
          <w:rStyle w:val="FootnoteReference"/>
          <w:rFonts w:ascii="Times New Roman" w:hAnsi="Times New Roman"/>
        </w:rPr>
        <w:footnoteRef/>
      </w:r>
      <w:r w:rsidRPr="00372958">
        <w:rPr>
          <w:rFonts w:ascii="Times New Roman" w:hAnsi="Times New Roman"/>
        </w:rPr>
        <w:t xml:space="preserve"> Wainwright v Home Office [2004] 2 AC 406</w:t>
      </w:r>
    </w:p>
  </w:footnote>
  <w:footnote w:id="2">
    <w:p w14:paraId="2C49C241" w14:textId="77777777" w:rsidR="002E0B49" w:rsidRPr="00372958" w:rsidRDefault="002E0B49" w:rsidP="00501E3A">
      <w:pPr>
        <w:pStyle w:val="FootnoteText"/>
        <w:rPr>
          <w:rFonts w:ascii="Times New Roman" w:hAnsi="Times New Roman"/>
        </w:rPr>
      </w:pPr>
      <w:r w:rsidRPr="00372958">
        <w:rPr>
          <w:rStyle w:val="FootnoteReference"/>
          <w:rFonts w:ascii="Times New Roman" w:hAnsi="Times New Roman"/>
        </w:rPr>
        <w:footnoteRef/>
      </w:r>
      <w:r w:rsidRPr="00372958">
        <w:rPr>
          <w:rFonts w:ascii="Times New Roman" w:hAnsi="Times New Roman"/>
        </w:rPr>
        <w:t xml:space="preserve"> It is arguable that there are provisions in various Caribbean Constitutions.</w:t>
      </w:r>
    </w:p>
  </w:footnote>
  <w:footnote w:id="3">
    <w:p w14:paraId="24AE0A43" w14:textId="77777777" w:rsidR="002E0B49" w:rsidRPr="00372958" w:rsidRDefault="002E0B49" w:rsidP="005F54D9">
      <w:pPr>
        <w:pStyle w:val="FootnoteText"/>
        <w:rPr>
          <w:rFonts w:ascii="Times New Roman" w:hAnsi="Times New Roman"/>
        </w:rPr>
      </w:pPr>
      <w:r w:rsidRPr="00372958">
        <w:rPr>
          <w:rStyle w:val="FootnoteReference"/>
          <w:rFonts w:ascii="Times New Roman" w:hAnsi="Times New Roman"/>
        </w:rPr>
        <w:footnoteRef/>
      </w:r>
      <w:r w:rsidRPr="00372958">
        <w:rPr>
          <w:rFonts w:ascii="Times New Roman" w:hAnsi="Times New Roman"/>
        </w:rPr>
        <w:t xml:space="preserve"> Ho v Simmons CV2014-1949</w:t>
      </w:r>
    </w:p>
  </w:footnote>
  <w:footnote w:id="4">
    <w:p w14:paraId="43CC7B9D" w14:textId="77777777" w:rsidR="002E0B49" w:rsidRPr="00372958" w:rsidRDefault="002E0B49" w:rsidP="005F54D9">
      <w:pPr>
        <w:pStyle w:val="FootnoteText"/>
        <w:ind w:left="810" w:hanging="90"/>
        <w:rPr>
          <w:rFonts w:ascii="Times New Roman" w:hAnsi="Times New Roman"/>
          <w:lang w:val="en-US"/>
        </w:rPr>
      </w:pPr>
      <w:r w:rsidRPr="00372958">
        <w:rPr>
          <w:rStyle w:val="FootnoteReference"/>
          <w:rFonts w:ascii="Times New Roman" w:hAnsi="Times New Roman"/>
        </w:rPr>
        <w:footnoteRef/>
      </w:r>
      <w:r w:rsidRPr="00372958">
        <w:rPr>
          <w:rFonts w:ascii="Times New Roman" w:hAnsi="Times New Roman"/>
        </w:rPr>
        <w:t xml:space="preserve"> Douglas v Hello! Ltd [2001] QB 967, [2001] 2 All ER 289, CA; A v B plc [2002] EWCA Civ 337, [2003] QB 195, [2002] 2 All ER 545; Campbell v MGN Ltd [2004] UKHL 22, [2004] 2 AC 457, [2004] 2 All ER 995; McKennitt v Ash [2006] EWCA Civ 1714, [2008] QB 73, [2007] EMLR 113; HRH Prince of Wales v Associated Newspapers [2006] EWCA Civ 1776, [2008] Ch 57, [2007] 2 All ER 139.</w:t>
      </w:r>
    </w:p>
  </w:footnote>
  <w:footnote w:id="5">
    <w:p w14:paraId="16AF169F" w14:textId="77777777" w:rsidR="002E0B49" w:rsidRPr="005F54D9" w:rsidRDefault="002E0B49">
      <w:pPr>
        <w:pStyle w:val="FootnoteText"/>
        <w:rPr>
          <w:lang w:val="en-US"/>
        </w:rPr>
      </w:pPr>
      <w:r w:rsidRPr="00372958">
        <w:rPr>
          <w:rStyle w:val="FootnoteReference"/>
          <w:rFonts w:ascii="Times New Roman" w:hAnsi="Times New Roman"/>
        </w:rPr>
        <w:footnoteRef/>
      </w:r>
      <w:r w:rsidRPr="00372958">
        <w:rPr>
          <w:rFonts w:ascii="Times New Roman" w:hAnsi="Times New Roman"/>
        </w:rPr>
        <w:t xml:space="preserve"> Kaye v Robertson [1991] FSR 62, (1990) Times, 21 March CA</w:t>
      </w:r>
    </w:p>
  </w:footnote>
  <w:footnote w:id="6">
    <w:p w14:paraId="56038A68" w14:textId="77777777" w:rsidR="002E0B49" w:rsidRPr="00372958" w:rsidRDefault="002E0B49" w:rsidP="00372958">
      <w:pPr>
        <w:pStyle w:val="FootnoteText"/>
        <w:ind w:left="900" w:hanging="180"/>
        <w:rPr>
          <w:rFonts w:ascii="Times New Roman" w:hAnsi="Times New Roman"/>
        </w:rPr>
      </w:pPr>
      <w:r w:rsidRPr="00372958">
        <w:rPr>
          <w:rStyle w:val="FootnoteReference"/>
          <w:rFonts w:ascii="Times New Roman" w:hAnsi="Times New Roman"/>
        </w:rPr>
        <w:footnoteRef/>
      </w:r>
      <w:r w:rsidRPr="00372958">
        <w:rPr>
          <w:rFonts w:ascii="Times New Roman" w:hAnsi="Times New Roman"/>
        </w:rPr>
        <w:t xml:space="preserve"> Hitchcock v TCN 9 (2000) NSWSC 198</w:t>
      </w:r>
      <w:r>
        <w:rPr>
          <w:rFonts w:ascii="Times New Roman" w:hAnsi="Times New Roman"/>
        </w:rPr>
        <w:t xml:space="preserve">; </w:t>
      </w:r>
      <w:r w:rsidRPr="00372958">
        <w:rPr>
          <w:rFonts w:ascii="Times New Roman" w:hAnsi="Times New Roman"/>
        </w:rPr>
        <w:t>Australian Broadcasting Corporation v Lenah Game Meats Pty.(2000) 208 CLR 1991</w:t>
      </w:r>
      <w:r>
        <w:rPr>
          <w:rFonts w:ascii="Times New Roman" w:hAnsi="Times New Roman"/>
        </w:rPr>
        <w:t xml:space="preserve">; </w:t>
      </w:r>
      <w:r w:rsidRPr="00372958">
        <w:rPr>
          <w:rFonts w:ascii="Times New Roman" w:hAnsi="Times New Roman"/>
        </w:rPr>
        <w:t xml:space="preserve"> Giller v Procopets (2008)24 VR 1</w:t>
      </w:r>
      <w:r>
        <w:rPr>
          <w:rFonts w:ascii="Times New Roman" w:hAnsi="Times New Roman"/>
        </w:rPr>
        <w:t xml:space="preserve">; </w:t>
      </w:r>
      <w:r w:rsidRPr="00372958">
        <w:rPr>
          <w:rFonts w:ascii="Times New Roman" w:hAnsi="Times New Roman"/>
        </w:rPr>
        <w:t>Wilson v Ferguson [2015] WASC 15</w:t>
      </w:r>
    </w:p>
  </w:footnote>
  <w:footnote w:id="7">
    <w:p w14:paraId="3CD33C6E" w14:textId="284040A8" w:rsidR="00CC14AD" w:rsidRPr="00CC14AD" w:rsidRDefault="00CC14AD">
      <w:pPr>
        <w:pStyle w:val="FootnoteText"/>
        <w:rPr>
          <w:lang w:val="en-TT"/>
        </w:rPr>
      </w:pPr>
      <w:r>
        <w:rPr>
          <w:rStyle w:val="FootnoteReference"/>
        </w:rPr>
        <w:footnoteRef/>
      </w:r>
      <w:r>
        <w:t xml:space="preserve"> </w:t>
      </w:r>
      <w:r>
        <w:rPr>
          <w:lang w:val="en-TT"/>
        </w:rPr>
        <w:t>Professor Cameron Stewart</w:t>
      </w:r>
    </w:p>
  </w:footnote>
  <w:footnote w:id="8">
    <w:p w14:paraId="7A7330C9" w14:textId="73657809" w:rsidR="00024B69" w:rsidRPr="00024B69" w:rsidRDefault="00024B69" w:rsidP="00024B69">
      <w:pPr>
        <w:pStyle w:val="FootnoteText"/>
        <w:rPr>
          <w:lang w:val="en-TT"/>
        </w:rPr>
      </w:pPr>
      <w:r>
        <w:rPr>
          <w:rStyle w:val="FootnoteReference"/>
        </w:rPr>
        <w:footnoteRef/>
      </w:r>
      <w:r>
        <w:t xml:space="preserve"> </w:t>
      </w:r>
      <w:r>
        <w:rPr>
          <w:lang w:val="en-TT"/>
        </w:rPr>
        <w:t xml:space="preserve">Giller v Procopets  &amp;  Wilson v Ferguson Ho v Simmons Supra </w:t>
      </w:r>
    </w:p>
  </w:footnote>
  <w:footnote w:id="9">
    <w:p w14:paraId="5754B36A" w14:textId="24F665B5" w:rsidR="00513BDC" w:rsidRPr="00513BDC" w:rsidRDefault="00513BDC">
      <w:pPr>
        <w:pStyle w:val="FootnoteText"/>
        <w:rPr>
          <w:lang w:val="en-TT"/>
        </w:rPr>
      </w:pPr>
      <w:r>
        <w:rPr>
          <w:rStyle w:val="FootnoteReference"/>
        </w:rPr>
        <w:footnoteRef/>
      </w:r>
      <w:r>
        <w:t xml:space="preserve"> </w:t>
      </w:r>
      <w:r>
        <w:rPr>
          <w:lang w:val="en-TT"/>
        </w:rPr>
        <w:t>Fractionated Care Technology Ltd. v Ruiz-Avila [1988] 1 Qd 51</w:t>
      </w:r>
    </w:p>
  </w:footnote>
  <w:footnote w:id="10">
    <w:p w14:paraId="42C5B6A8" w14:textId="3B29FF33" w:rsidR="004D64BD" w:rsidRPr="004D64BD" w:rsidRDefault="004D64BD">
      <w:pPr>
        <w:pStyle w:val="FootnoteText"/>
        <w:rPr>
          <w:lang w:val="en-TT"/>
        </w:rPr>
      </w:pPr>
      <w:r>
        <w:rPr>
          <w:rStyle w:val="FootnoteReference"/>
        </w:rPr>
        <w:footnoteRef/>
      </w:r>
      <w:r>
        <w:t xml:space="preserve"> </w:t>
      </w:r>
      <w:r>
        <w:rPr>
          <w:lang w:val="en-TT"/>
        </w:rPr>
        <w:t>Meagher Gummow&amp; Lehane’s Equity, Doctrines and Remedies(5</w:t>
      </w:r>
      <w:r w:rsidRPr="004D64BD">
        <w:rPr>
          <w:vertAlign w:val="superscript"/>
          <w:lang w:val="en-TT"/>
        </w:rPr>
        <w:t>th</w:t>
      </w:r>
      <w:r>
        <w:rPr>
          <w:lang w:val="en-TT"/>
        </w:rPr>
        <w:t xml:space="preserve"> Edition) [23-605]</w:t>
      </w:r>
    </w:p>
  </w:footnote>
  <w:footnote w:id="11">
    <w:p w14:paraId="130CFDAF" w14:textId="46639945" w:rsidR="00DB7B0B" w:rsidRPr="00DB7B0B" w:rsidRDefault="00DB7B0B">
      <w:pPr>
        <w:pStyle w:val="FootnoteText"/>
        <w:rPr>
          <w:lang w:val="en-TT"/>
        </w:rPr>
      </w:pPr>
      <w:r>
        <w:rPr>
          <w:rStyle w:val="FootnoteReference"/>
        </w:rPr>
        <w:footnoteRef/>
      </w:r>
      <w:r>
        <w:t xml:space="preserve"> </w:t>
      </w:r>
      <w:r>
        <w:rPr>
          <w:lang w:val="en-TT"/>
        </w:rPr>
        <w:t>(1990) 3 NZLR 299</w:t>
      </w:r>
    </w:p>
  </w:footnote>
  <w:footnote w:id="12">
    <w:p w14:paraId="7FD80A8F" w14:textId="43991638" w:rsidR="00513BDC" w:rsidRPr="00513BDC" w:rsidRDefault="00513BDC">
      <w:pPr>
        <w:pStyle w:val="FootnoteText"/>
        <w:rPr>
          <w:lang w:val="en-TT"/>
        </w:rPr>
      </w:pPr>
      <w:r>
        <w:rPr>
          <w:rStyle w:val="FootnoteReference"/>
        </w:rPr>
        <w:footnoteRef/>
      </w:r>
      <w:r>
        <w:t xml:space="preserve"> </w:t>
      </w:r>
      <w:r w:rsidRPr="00513BDC">
        <w:rPr>
          <w:rFonts w:eastAsiaTheme="minorHAnsi"/>
        </w:rPr>
        <w:t>(1992) 92 DLR (4th) 440</w:t>
      </w:r>
    </w:p>
  </w:footnote>
  <w:footnote w:id="13">
    <w:p w14:paraId="5A23DFF2" w14:textId="1AED1906" w:rsidR="00BB638F" w:rsidRPr="00BB638F" w:rsidRDefault="00BB638F">
      <w:pPr>
        <w:pStyle w:val="FootnoteText"/>
        <w:rPr>
          <w:lang w:val="en-TT"/>
        </w:rPr>
      </w:pPr>
      <w:r>
        <w:rPr>
          <w:rStyle w:val="FootnoteReference"/>
        </w:rPr>
        <w:footnoteRef/>
      </w:r>
      <w:r>
        <w:t xml:space="preserve"> (</w:t>
      </w:r>
      <w:hyperlink r:id="rId1" w:tooltip="View LawCiteRecord" w:history="1">
        <w:r w:rsidRPr="00BB638F">
          <w:rPr>
            <w:rStyle w:val="Hyperlink"/>
            <w:rFonts w:ascii="Times New Roman" w:hAnsi="Times New Roman"/>
            <w:color w:val="auto"/>
            <w:sz w:val="23"/>
            <w:szCs w:val="23"/>
            <w:u w:val="none"/>
            <w:shd w:val="clear" w:color="auto" w:fill="FFFFFF"/>
          </w:rPr>
          <w:t>2003) 56 NSWLR 298</w:t>
        </w:r>
      </w:hyperlink>
    </w:p>
  </w:footnote>
  <w:footnote w:id="14">
    <w:p w14:paraId="6E684B0B" w14:textId="5AD07BC7" w:rsidR="003525D5" w:rsidRDefault="00F465AD" w:rsidP="003525D5">
      <w:pPr>
        <w:pStyle w:val="Heading2"/>
        <w:spacing w:before="240" w:after="240"/>
        <w:ind w:left="720"/>
        <w:rPr>
          <w:rFonts w:ascii="Tw Cen MT" w:hAnsi="Tw Cen MT"/>
          <w:color w:val="000000"/>
          <w:sz w:val="31"/>
          <w:szCs w:val="31"/>
          <w:lang w:val="en-TT"/>
        </w:rPr>
      </w:pPr>
      <w:r>
        <w:rPr>
          <w:rStyle w:val="FootnoteReference"/>
        </w:rPr>
        <w:footnoteRef/>
      </w:r>
      <w:r>
        <w:t xml:space="preserve"> </w:t>
      </w:r>
      <w:r w:rsidR="003525D5" w:rsidRPr="00052E17">
        <w:rPr>
          <w:rFonts w:ascii="Times New Roman" w:hAnsi="Times New Roman" w:cs="Times New Roman"/>
          <w:color w:val="000000"/>
          <w:sz w:val="20"/>
          <w:szCs w:val="20"/>
        </w:rPr>
        <w:t>Hughes, David A --- "A Classification of Fusion After Harris v Digital Pulse" [2006]    UNSWLawJl 15</w:t>
      </w:r>
    </w:p>
    <w:p w14:paraId="3E326F9E" w14:textId="454D4F34" w:rsidR="00F465AD" w:rsidRPr="00F465AD" w:rsidRDefault="00F465AD">
      <w:pPr>
        <w:pStyle w:val="FootnoteText"/>
        <w:rPr>
          <w:lang w:val="en-T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93C"/>
    <w:multiLevelType w:val="hybridMultilevel"/>
    <w:tmpl w:val="9F6EBC56"/>
    <w:lvl w:ilvl="0" w:tplc="A57C3244">
      <w:start w:val="1"/>
      <w:numFmt w:val="bullet"/>
      <w:lvlText w:val="•"/>
      <w:lvlJc w:val="left"/>
      <w:pPr>
        <w:tabs>
          <w:tab w:val="num" w:pos="720"/>
        </w:tabs>
        <w:ind w:left="720" w:hanging="360"/>
      </w:pPr>
      <w:rPr>
        <w:rFonts w:ascii="Arial" w:hAnsi="Arial" w:hint="default"/>
      </w:rPr>
    </w:lvl>
    <w:lvl w:ilvl="1" w:tplc="A69AF220" w:tentative="1">
      <w:start w:val="1"/>
      <w:numFmt w:val="bullet"/>
      <w:lvlText w:val="•"/>
      <w:lvlJc w:val="left"/>
      <w:pPr>
        <w:tabs>
          <w:tab w:val="num" w:pos="1440"/>
        </w:tabs>
        <w:ind w:left="1440" w:hanging="360"/>
      </w:pPr>
      <w:rPr>
        <w:rFonts w:ascii="Arial" w:hAnsi="Arial" w:hint="default"/>
      </w:rPr>
    </w:lvl>
    <w:lvl w:ilvl="2" w:tplc="635C5BD6" w:tentative="1">
      <w:start w:val="1"/>
      <w:numFmt w:val="bullet"/>
      <w:lvlText w:val="•"/>
      <w:lvlJc w:val="left"/>
      <w:pPr>
        <w:tabs>
          <w:tab w:val="num" w:pos="2160"/>
        </w:tabs>
        <w:ind w:left="2160" w:hanging="360"/>
      </w:pPr>
      <w:rPr>
        <w:rFonts w:ascii="Arial" w:hAnsi="Arial" w:hint="default"/>
      </w:rPr>
    </w:lvl>
    <w:lvl w:ilvl="3" w:tplc="76E486A0" w:tentative="1">
      <w:start w:val="1"/>
      <w:numFmt w:val="bullet"/>
      <w:lvlText w:val="•"/>
      <w:lvlJc w:val="left"/>
      <w:pPr>
        <w:tabs>
          <w:tab w:val="num" w:pos="2880"/>
        </w:tabs>
        <w:ind w:left="2880" w:hanging="360"/>
      </w:pPr>
      <w:rPr>
        <w:rFonts w:ascii="Arial" w:hAnsi="Arial" w:hint="default"/>
      </w:rPr>
    </w:lvl>
    <w:lvl w:ilvl="4" w:tplc="4532DF26" w:tentative="1">
      <w:start w:val="1"/>
      <w:numFmt w:val="bullet"/>
      <w:lvlText w:val="•"/>
      <w:lvlJc w:val="left"/>
      <w:pPr>
        <w:tabs>
          <w:tab w:val="num" w:pos="3600"/>
        </w:tabs>
        <w:ind w:left="3600" w:hanging="360"/>
      </w:pPr>
      <w:rPr>
        <w:rFonts w:ascii="Arial" w:hAnsi="Arial" w:hint="default"/>
      </w:rPr>
    </w:lvl>
    <w:lvl w:ilvl="5" w:tplc="60D67398" w:tentative="1">
      <w:start w:val="1"/>
      <w:numFmt w:val="bullet"/>
      <w:lvlText w:val="•"/>
      <w:lvlJc w:val="left"/>
      <w:pPr>
        <w:tabs>
          <w:tab w:val="num" w:pos="4320"/>
        </w:tabs>
        <w:ind w:left="4320" w:hanging="360"/>
      </w:pPr>
      <w:rPr>
        <w:rFonts w:ascii="Arial" w:hAnsi="Arial" w:hint="default"/>
      </w:rPr>
    </w:lvl>
    <w:lvl w:ilvl="6" w:tplc="082CF634" w:tentative="1">
      <w:start w:val="1"/>
      <w:numFmt w:val="bullet"/>
      <w:lvlText w:val="•"/>
      <w:lvlJc w:val="left"/>
      <w:pPr>
        <w:tabs>
          <w:tab w:val="num" w:pos="5040"/>
        </w:tabs>
        <w:ind w:left="5040" w:hanging="360"/>
      </w:pPr>
      <w:rPr>
        <w:rFonts w:ascii="Arial" w:hAnsi="Arial" w:hint="default"/>
      </w:rPr>
    </w:lvl>
    <w:lvl w:ilvl="7" w:tplc="D41011E4" w:tentative="1">
      <w:start w:val="1"/>
      <w:numFmt w:val="bullet"/>
      <w:lvlText w:val="•"/>
      <w:lvlJc w:val="left"/>
      <w:pPr>
        <w:tabs>
          <w:tab w:val="num" w:pos="5760"/>
        </w:tabs>
        <w:ind w:left="5760" w:hanging="360"/>
      </w:pPr>
      <w:rPr>
        <w:rFonts w:ascii="Arial" w:hAnsi="Arial" w:hint="default"/>
      </w:rPr>
    </w:lvl>
    <w:lvl w:ilvl="8" w:tplc="AB6496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20DA7"/>
    <w:multiLevelType w:val="hybridMultilevel"/>
    <w:tmpl w:val="F01CE07A"/>
    <w:lvl w:ilvl="0" w:tplc="C5E2E3DC">
      <w:start w:val="1"/>
      <w:numFmt w:val="low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1B2D51C8"/>
    <w:multiLevelType w:val="multilevel"/>
    <w:tmpl w:val="4788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30B45"/>
    <w:multiLevelType w:val="hybridMultilevel"/>
    <w:tmpl w:val="2292C1E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2F603524"/>
    <w:multiLevelType w:val="hybridMultilevel"/>
    <w:tmpl w:val="FBE419AC"/>
    <w:lvl w:ilvl="0" w:tplc="2C090019">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3073677D"/>
    <w:multiLevelType w:val="hybridMultilevel"/>
    <w:tmpl w:val="4224E33A"/>
    <w:lvl w:ilvl="0" w:tplc="92B23B38">
      <w:start w:val="1"/>
      <w:numFmt w:val="low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5C01504A"/>
    <w:multiLevelType w:val="hybridMultilevel"/>
    <w:tmpl w:val="3C60856A"/>
    <w:lvl w:ilvl="0" w:tplc="63122538">
      <w:start w:val="1"/>
      <w:numFmt w:val="low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75"/>
    <w:rsid w:val="00024B69"/>
    <w:rsid w:val="00040F15"/>
    <w:rsid w:val="00052E17"/>
    <w:rsid w:val="00057831"/>
    <w:rsid w:val="000651B3"/>
    <w:rsid w:val="00084257"/>
    <w:rsid w:val="00103681"/>
    <w:rsid w:val="00141C6C"/>
    <w:rsid w:val="00152497"/>
    <w:rsid w:val="0016466F"/>
    <w:rsid w:val="001E13DA"/>
    <w:rsid w:val="00205BA1"/>
    <w:rsid w:val="002249E8"/>
    <w:rsid w:val="0029688C"/>
    <w:rsid w:val="002E0B49"/>
    <w:rsid w:val="002F60F7"/>
    <w:rsid w:val="003024E3"/>
    <w:rsid w:val="00302CD9"/>
    <w:rsid w:val="00310D69"/>
    <w:rsid w:val="003525D5"/>
    <w:rsid w:val="00372958"/>
    <w:rsid w:val="00377B19"/>
    <w:rsid w:val="003A12BC"/>
    <w:rsid w:val="003B52D0"/>
    <w:rsid w:val="003D46DD"/>
    <w:rsid w:val="0045253D"/>
    <w:rsid w:val="004759C6"/>
    <w:rsid w:val="00497B32"/>
    <w:rsid w:val="004B0172"/>
    <w:rsid w:val="004D64BD"/>
    <w:rsid w:val="004D73D3"/>
    <w:rsid w:val="00501E3A"/>
    <w:rsid w:val="00513BDC"/>
    <w:rsid w:val="005653A1"/>
    <w:rsid w:val="005900E0"/>
    <w:rsid w:val="005F54D9"/>
    <w:rsid w:val="005F7287"/>
    <w:rsid w:val="006026E9"/>
    <w:rsid w:val="00605B75"/>
    <w:rsid w:val="00684C75"/>
    <w:rsid w:val="00693D8A"/>
    <w:rsid w:val="006B15F5"/>
    <w:rsid w:val="006C659A"/>
    <w:rsid w:val="007124DB"/>
    <w:rsid w:val="00722578"/>
    <w:rsid w:val="00755F5F"/>
    <w:rsid w:val="00771A81"/>
    <w:rsid w:val="007A5D62"/>
    <w:rsid w:val="007B3C03"/>
    <w:rsid w:val="007F1E59"/>
    <w:rsid w:val="00805E7F"/>
    <w:rsid w:val="00843F27"/>
    <w:rsid w:val="008650D5"/>
    <w:rsid w:val="0086737D"/>
    <w:rsid w:val="008B7017"/>
    <w:rsid w:val="008C2C0D"/>
    <w:rsid w:val="008C7B49"/>
    <w:rsid w:val="00917FD3"/>
    <w:rsid w:val="009200D5"/>
    <w:rsid w:val="0092134A"/>
    <w:rsid w:val="00921C84"/>
    <w:rsid w:val="00932867"/>
    <w:rsid w:val="00981654"/>
    <w:rsid w:val="00983EEA"/>
    <w:rsid w:val="009C3A86"/>
    <w:rsid w:val="009E1CAB"/>
    <w:rsid w:val="009E5A41"/>
    <w:rsid w:val="00A13234"/>
    <w:rsid w:val="00A27885"/>
    <w:rsid w:val="00A3411C"/>
    <w:rsid w:val="00A83A3C"/>
    <w:rsid w:val="00AF6CA1"/>
    <w:rsid w:val="00B13DC1"/>
    <w:rsid w:val="00B33D9B"/>
    <w:rsid w:val="00BB638F"/>
    <w:rsid w:val="00BC2861"/>
    <w:rsid w:val="00BC5D06"/>
    <w:rsid w:val="00C108B0"/>
    <w:rsid w:val="00C20850"/>
    <w:rsid w:val="00CC14AD"/>
    <w:rsid w:val="00D157E8"/>
    <w:rsid w:val="00D33E42"/>
    <w:rsid w:val="00D35336"/>
    <w:rsid w:val="00D85408"/>
    <w:rsid w:val="00DB7B0B"/>
    <w:rsid w:val="00E15352"/>
    <w:rsid w:val="00E21CF1"/>
    <w:rsid w:val="00E3394B"/>
    <w:rsid w:val="00E37853"/>
    <w:rsid w:val="00EB1B4D"/>
    <w:rsid w:val="00EB4DA8"/>
    <w:rsid w:val="00EC675E"/>
    <w:rsid w:val="00ED1645"/>
    <w:rsid w:val="00F00A7A"/>
    <w:rsid w:val="00F014F9"/>
    <w:rsid w:val="00F1697D"/>
    <w:rsid w:val="00F2632C"/>
    <w:rsid w:val="00F465AD"/>
    <w:rsid w:val="00F7766A"/>
    <w:rsid w:val="00FA593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EF05"/>
  <w15:docId w15:val="{3D83BCA3-B0B6-4A7D-A0AF-F13CD266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4C75"/>
    <w:pPr>
      <w:spacing w:after="0" w:line="240" w:lineRule="auto"/>
    </w:pPr>
    <w:rPr>
      <w:rFonts w:ascii="Times New Roman" w:eastAsia="Times New Roman" w:hAnsi="Times New Roman" w:cs="Times New Roman"/>
      <w:sz w:val="24"/>
      <w:szCs w:val="24"/>
      <w:lang w:val="en-US"/>
    </w:rPr>
  </w:style>
  <w:style w:type="paragraph" w:styleId="Heading1">
    <w:name w:val="heading 1"/>
    <w:aliases w:val="Heading 1 Char1,Heading 1 Char Char"/>
    <w:basedOn w:val="Normal"/>
    <w:next w:val="Normal"/>
    <w:link w:val="Heading1Char"/>
    <w:uiPriority w:val="99"/>
    <w:qFormat/>
    <w:rsid w:val="0015249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525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75"/>
    <w:pPr>
      <w:ind w:left="720"/>
      <w:contextualSpacing/>
    </w:pPr>
  </w:style>
  <w:style w:type="character" w:styleId="Hyperlink">
    <w:name w:val="Hyperlink"/>
    <w:uiPriority w:val="99"/>
    <w:unhideWhenUsed/>
    <w:rsid w:val="00684C75"/>
    <w:rPr>
      <w:color w:val="0000FF"/>
      <w:u w:val="single"/>
    </w:rPr>
  </w:style>
  <w:style w:type="paragraph" w:styleId="Header">
    <w:name w:val="header"/>
    <w:basedOn w:val="Normal"/>
    <w:link w:val="HeaderChar"/>
    <w:uiPriority w:val="99"/>
    <w:unhideWhenUsed/>
    <w:rsid w:val="003B52D0"/>
    <w:pPr>
      <w:tabs>
        <w:tab w:val="center" w:pos="4680"/>
        <w:tab w:val="right" w:pos="9360"/>
      </w:tabs>
    </w:pPr>
  </w:style>
  <w:style w:type="character" w:customStyle="1" w:styleId="HeaderChar">
    <w:name w:val="Header Char"/>
    <w:basedOn w:val="DefaultParagraphFont"/>
    <w:link w:val="Header"/>
    <w:uiPriority w:val="99"/>
    <w:rsid w:val="003B52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B52D0"/>
    <w:pPr>
      <w:tabs>
        <w:tab w:val="center" w:pos="4680"/>
        <w:tab w:val="right" w:pos="9360"/>
      </w:tabs>
    </w:pPr>
  </w:style>
  <w:style w:type="character" w:customStyle="1" w:styleId="FooterChar">
    <w:name w:val="Footer Char"/>
    <w:basedOn w:val="DefaultParagraphFont"/>
    <w:link w:val="Footer"/>
    <w:uiPriority w:val="99"/>
    <w:rsid w:val="003B52D0"/>
    <w:rPr>
      <w:rFonts w:ascii="Times New Roman" w:eastAsia="Times New Roman" w:hAnsi="Times New Roman" w:cs="Times New Roman"/>
      <w:sz w:val="24"/>
      <w:szCs w:val="24"/>
      <w:lang w:val="en-US"/>
    </w:rPr>
  </w:style>
  <w:style w:type="paragraph" w:customStyle="1" w:styleId="MEDIA">
    <w:name w:val="MEDIA"/>
    <w:basedOn w:val="Normal"/>
    <w:rsid w:val="00497B32"/>
    <w:pPr>
      <w:tabs>
        <w:tab w:val="left" w:pos="1276"/>
      </w:tabs>
      <w:spacing w:after="240"/>
      <w:ind w:left="709" w:hanging="709"/>
      <w:jc w:val="both"/>
    </w:pPr>
    <w:rPr>
      <w:sz w:val="28"/>
      <w:szCs w:val="20"/>
      <w:lang w:val="en-AU"/>
    </w:rPr>
  </w:style>
  <w:style w:type="character" w:customStyle="1" w:styleId="Heading1Char">
    <w:name w:val="Heading 1 Char"/>
    <w:aliases w:val="Heading 1 Char1 Char,Heading 1 Char Char Char"/>
    <w:basedOn w:val="DefaultParagraphFont"/>
    <w:link w:val="Heading1"/>
    <w:uiPriority w:val="99"/>
    <w:rsid w:val="00152497"/>
    <w:rPr>
      <w:rFonts w:ascii="Calibri Light" w:eastAsia="Times New Roman" w:hAnsi="Calibri Light" w:cs="Times New Roman"/>
      <w:b/>
      <w:bCs/>
      <w:kern w:val="32"/>
      <w:sz w:val="32"/>
      <w:szCs w:val="32"/>
      <w:lang w:val="en-US"/>
    </w:rPr>
  </w:style>
  <w:style w:type="paragraph" w:styleId="FootnoteText">
    <w:name w:val="footnote text"/>
    <w:basedOn w:val="Normal"/>
    <w:link w:val="FootnoteTextChar"/>
    <w:uiPriority w:val="99"/>
    <w:rsid w:val="00152497"/>
    <w:pPr>
      <w:widowControl w:val="0"/>
      <w:spacing w:before="120"/>
      <w:ind w:left="1440" w:hanging="720"/>
      <w:jc w:val="both"/>
    </w:pPr>
    <w:rPr>
      <w:rFonts w:ascii="Book Antiqua" w:hAnsi="Book Antiqua"/>
      <w:sz w:val="20"/>
      <w:szCs w:val="20"/>
      <w:lang w:val="en-AU"/>
    </w:rPr>
  </w:style>
  <w:style w:type="character" w:customStyle="1" w:styleId="FootnoteTextChar">
    <w:name w:val="Footnote Text Char"/>
    <w:basedOn w:val="DefaultParagraphFont"/>
    <w:link w:val="FootnoteText"/>
    <w:uiPriority w:val="99"/>
    <w:rsid w:val="00152497"/>
    <w:rPr>
      <w:rFonts w:ascii="Book Antiqua" w:eastAsia="Times New Roman" w:hAnsi="Book Antiqua" w:cs="Times New Roman"/>
      <w:sz w:val="20"/>
      <w:szCs w:val="20"/>
      <w:lang w:val="en-AU"/>
    </w:rPr>
  </w:style>
  <w:style w:type="paragraph" w:customStyle="1" w:styleId="Q">
    <w:name w:val="Q"/>
    <w:basedOn w:val="Normal"/>
    <w:rsid w:val="008C7B49"/>
    <w:pPr>
      <w:tabs>
        <w:tab w:val="left" w:pos="6096"/>
      </w:tabs>
      <w:spacing w:after="240"/>
      <w:ind w:left="1276" w:right="567"/>
      <w:jc w:val="both"/>
    </w:pPr>
    <w:rPr>
      <w:szCs w:val="20"/>
      <w:lang w:val="en-AU"/>
    </w:rPr>
  </w:style>
  <w:style w:type="character" w:styleId="Emphasis">
    <w:name w:val="Emphasis"/>
    <w:basedOn w:val="DefaultParagraphFont"/>
    <w:uiPriority w:val="20"/>
    <w:qFormat/>
    <w:rsid w:val="006C659A"/>
    <w:rPr>
      <w:i/>
      <w:iCs/>
    </w:rPr>
  </w:style>
  <w:style w:type="paragraph" w:styleId="Index1">
    <w:name w:val="index 1"/>
    <w:basedOn w:val="Normal"/>
    <w:autoRedefine/>
    <w:uiPriority w:val="99"/>
    <w:semiHidden/>
    <w:rsid w:val="00693D8A"/>
    <w:pPr>
      <w:ind w:left="851" w:hanging="851"/>
      <w:jc w:val="both"/>
    </w:pPr>
    <w:rPr>
      <w:sz w:val="28"/>
      <w:szCs w:val="20"/>
      <w:lang w:val="en-GB"/>
    </w:rPr>
  </w:style>
  <w:style w:type="paragraph" w:styleId="NoSpacing">
    <w:name w:val="No Spacing"/>
    <w:uiPriority w:val="1"/>
    <w:qFormat/>
    <w:rsid w:val="0045253D"/>
    <w:pPr>
      <w:spacing w:after="0" w:line="240" w:lineRule="auto"/>
    </w:pPr>
  </w:style>
  <w:style w:type="character" w:styleId="FootnoteReference">
    <w:name w:val="footnote reference"/>
    <w:basedOn w:val="DefaultParagraphFont"/>
    <w:uiPriority w:val="99"/>
    <w:semiHidden/>
    <w:unhideWhenUsed/>
    <w:rsid w:val="005F54D9"/>
    <w:rPr>
      <w:vertAlign w:val="superscript"/>
    </w:rPr>
  </w:style>
  <w:style w:type="paragraph" w:styleId="BalloonText">
    <w:name w:val="Balloon Text"/>
    <w:basedOn w:val="Normal"/>
    <w:link w:val="BalloonTextChar"/>
    <w:uiPriority w:val="99"/>
    <w:semiHidden/>
    <w:unhideWhenUsed/>
    <w:rsid w:val="00501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E3A"/>
    <w:rPr>
      <w:rFonts w:ascii="Segoe UI" w:eastAsia="Times New Roman" w:hAnsi="Segoe UI" w:cs="Segoe UI"/>
      <w:sz w:val="18"/>
      <w:szCs w:val="18"/>
      <w:lang w:val="en-US"/>
    </w:rPr>
  </w:style>
  <w:style w:type="character" w:customStyle="1" w:styleId="apple-converted-space">
    <w:name w:val="apple-converted-space"/>
    <w:basedOn w:val="DefaultParagraphFont"/>
    <w:rsid w:val="009E1CAB"/>
  </w:style>
  <w:style w:type="character" w:customStyle="1" w:styleId="Heading2Char">
    <w:name w:val="Heading 2 Char"/>
    <w:basedOn w:val="DefaultParagraphFont"/>
    <w:link w:val="Heading2"/>
    <w:uiPriority w:val="9"/>
    <w:semiHidden/>
    <w:rsid w:val="003525D5"/>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89063">
      <w:bodyDiv w:val="1"/>
      <w:marLeft w:val="0"/>
      <w:marRight w:val="0"/>
      <w:marTop w:val="0"/>
      <w:marBottom w:val="0"/>
      <w:divBdr>
        <w:top w:val="none" w:sz="0" w:space="0" w:color="auto"/>
        <w:left w:val="none" w:sz="0" w:space="0" w:color="auto"/>
        <w:bottom w:val="none" w:sz="0" w:space="0" w:color="auto"/>
        <w:right w:val="none" w:sz="0" w:space="0" w:color="auto"/>
      </w:divBdr>
      <w:divsChild>
        <w:div w:id="1389451528">
          <w:marLeft w:val="547"/>
          <w:marRight w:val="0"/>
          <w:marTop w:val="130"/>
          <w:marBottom w:val="0"/>
          <w:divBdr>
            <w:top w:val="none" w:sz="0" w:space="0" w:color="auto"/>
            <w:left w:val="none" w:sz="0" w:space="0" w:color="auto"/>
            <w:bottom w:val="none" w:sz="0" w:space="0" w:color="auto"/>
            <w:right w:val="none" w:sz="0" w:space="0" w:color="auto"/>
          </w:divBdr>
        </w:div>
      </w:divsChild>
    </w:div>
    <w:div w:id="7900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138.25.65.22/cgi-bin/LawCite?cit=%282003%29%2056%20NSWLR%20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A7F3-4CEF-4870-B952-87FD2EC1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 Murphy</dc:creator>
  <cp:lastModifiedBy>Lemuel Murphy</cp:lastModifiedBy>
  <cp:revision>2</cp:revision>
  <cp:lastPrinted>2017-05-29T15:39:00Z</cp:lastPrinted>
  <dcterms:created xsi:type="dcterms:W3CDTF">2017-05-31T14:43:00Z</dcterms:created>
  <dcterms:modified xsi:type="dcterms:W3CDTF">2017-05-31T14:43:00Z</dcterms:modified>
</cp:coreProperties>
</file>